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自治区文化和旅游厅</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涉改部门单位调整预算补充公开</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根据自治区党委办公厅、自治区人民政府办公厅《关于新疆维吾尔自治区机构改革方案的实施意见的通知》，调整部门单位预算。现将我单位预算调整情况补充公开如下：</w:t>
      </w:r>
    </w:p>
    <w:p>
      <w:pPr>
        <w:pStyle w:val="9"/>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单位职能划转情况</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根据《</w:t>
      </w:r>
      <w:r>
        <w:rPr>
          <w:rFonts w:hint="eastAsia" w:ascii="仿宋_GB2312" w:hAnsi="仿宋_GB2312" w:eastAsia="仿宋_GB2312" w:cs="仿宋_GB2312"/>
          <w:sz w:val="32"/>
          <w:szCs w:val="32"/>
          <w:u w:val="none"/>
        </w:rPr>
        <w:t>关于新疆维吾尔自治区机构改革方案的实施意见</w:t>
      </w:r>
      <w:r>
        <w:rPr>
          <w:rFonts w:hint="eastAsia" w:ascii="仿宋_GB2312" w:hAnsi="仿宋_GB2312" w:eastAsia="仿宋_GB2312" w:cs="仿宋_GB2312"/>
          <w:sz w:val="32"/>
          <w:szCs w:val="32"/>
          <w:u w:val="none"/>
          <w:lang w:eastAsia="zh-CN"/>
        </w:rPr>
        <w:t>》精神，自治区文化厅、自治区旅游发展委员会的职责整合，重新组建自治区文化和旅游厅，为</w:t>
      </w:r>
      <w:r>
        <w:rPr>
          <w:rFonts w:hint="eastAsia" w:ascii="仿宋_GB2312" w:hAnsi="仿宋_GB2312" w:eastAsia="仿宋_GB2312" w:cs="仿宋_GB2312"/>
          <w:sz w:val="32"/>
          <w:szCs w:val="32"/>
          <w:u w:val="none"/>
        </w:rPr>
        <w:t>正厅级</w:t>
      </w: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，加挂自治区文物局牌子</w:t>
      </w:r>
      <w:r>
        <w:rPr>
          <w:rFonts w:hint="eastAsia" w:ascii="仿宋_GB2312" w:hAnsi="仿宋_GB2312" w:eastAsia="仿宋_GB2312" w:cs="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highlight w:val="none"/>
          <w:u w:val="none"/>
          <w:lang w:eastAsia="zh-CN"/>
        </w:rPr>
        <w:t>涉及两厅的预算调整以原文化厅为基数，合并旅游发展委员会，新单位名称为</w:t>
      </w:r>
      <w:r>
        <w:rPr>
          <w:rFonts w:hint="eastAsia" w:ascii="仿宋_GB2312" w:hAnsi="仿宋_GB2312" w:eastAsia="仿宋_GB2312" w:cs="仿宋_GB2312"/>
          <w:sz w:val="32"/>
          <w:szCs w:val="32"/>
          <w:u w:val="none"/>
        </w:rPr>
        <w:t>自治区文化和旅游厅</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贯彻落实自治区党政机构改革工作部署，</w:t>
      </w:r>
      <w:r>
        <w:rPr>
          <w:rFonts w:hint="eastAsia" w:ascii="仿宋_GB2312" w:hAnsi="仿宋_GB2312" w:eastAsia="仿宋_GB2312" w:cs="仿宋_GB2312"/>
          <w:sz w:val="32"/>
          <w:szCs w:val="32"/>
          <w:highlight w:val="none"/>
          <w:u w:val="none"/>
        </w:rPr>
        <w:t>本次划入职能</w:t>
      </w:r>
      <w:r>
        <w:rPr>
          <w:rFonts w:hint="eastAsia" w:ascii="仿宋_GB2312" w:hAnsi="仿宋_GB2312" w:eastAsia="仿宋_GB2312" w:cs="仿宋_GB2312"/>
          <w:sz w:val="32"/>
          <w:szCs w:val="32"/>
          <w:highlight w:val="none"/>
          <w:u w:val="none"/>
          <w:lang w:eastAsia="zh-CN"/>
        </w:rPr>
        <w:t>无，</w:t>
      </w:r>
      <w:r>
        <w:rPr>
          <w:rFonts w:hint="eastAsia" w:ascii="仿宋_GB2312" w:hAnsi="仿宋_GB2312" w:eastAsia="仿宋_GB2312" w:cs="仿宋_GB2312"/>
          <w:sz w:val="32"/>
          <w:szCs w:val="32"/>
          <w:highlight w:val="none"/>
          <w:u w:val="none"/>
        </w:rPr>
        <w:t>划出职能</w:t>
      </w:r>
      <w:r>
        <w:rPr>
          <w:rFonts w:hint="eastAsia" w:ascii="仿宋_GB2312" w:hAnsi="仿宋_GB2312" w:eastAsia="仿宋_GB2312" w:cs="仿宋_GB2312"/>
          <w:sz w:val="32"/>
          <w:szCs w:val="32"/>
          <w:highlight w:val="none"/>
          <w:u w:val="none"/>
          <w:lang w:eastAsia="zh-CN"/>
        </w:rPr>
        <w:t>无</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u w:val="none"/>
        </w:rPr>
        <w:t>自治区文化和旅游厅主要职能为</w:t>
      </w:r>
      <w:r>
        <w:rPr>
          <w:rFonts w:hint="eastAsia" w:ascii="仿宋_GB2312" w:hAnsi="仿宋_GB2312" w:eastAsia="仿宋_GB2312" w:cs="仿宋_GB2312"/>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党对文化和旅游工作的领导。贯彻落实党和国家文化和旅游工作的方针政策，发展中国特色社会主义文化，实施旅游兴疆战略。牢牢掌握意识形态工作的领导权和主动权，拟订文化和旅游政策措施，起草文化和旅游法规规章草案并组织实施。</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（二）统筹文化和旅游事业、产业振兴发展，拟订自治区文化和旅游发展规划并组织实施，推进文化和旅游创新融合绿色发展，实施“文化和旅游+”，推动绿色发展。落实文化和旅游体制机制改革。</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自治区重大文化和旅游活动，指导自治区重点文化和旅游设施建设，组织文化和旅游整体形象推广，构建全媒体时代的宣传营销平台和机制。促进文化和旅游产业对外合作和市场推广，拟订旅游市场开发战略并组织实施。统筹文化和旅游景区管理，指导、推进全域旅游。</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（四）指导、管理文艺事业，指导艺术创作生产及艺术研究、评论，扶持坚守中华文化立场、体现社会主义核心价值观、具有导向性代表性示范性的文艺作品，推动各门类艺术、各艺术品种发展。</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（五）负责公共文化事业发展，推进自治区公共文化服务体系建设和旅游公共服务建设，深入实施文化惠民工程，统筹推进基本公共文化服务标准化、均等化。</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（六）指导文化和旅游科技创新发展，推进文化和旅游行业信息化、标准化建设。</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（七）负责非物质文化遗产保护和研究。推动非物质文化遗产的保护、传承、普及、弘扬和振兴。</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统筹规划文化和旅游产业，组织实施文化和旅游资源普查、挖掘、保护与利用工作，推动文化和旅游产业投融资体系建设，促进文化和旅游产业发展。结合乡村振兴战略，推进文化和旅游扶贫。指导全疆打造“新疆是个好地方”独特品牌和演艺项目开发，构建世界重要旅游目的地。</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（九）指导文化和旅游市场发展，对文化和旅游市场经营进行行业监管，推进文化和旅游行业信用体系建设，依法规范文化和旅游市场。</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（十）负责文化和旅游安全的综合协调与监督管理，指导文化和旅游应急救援工作。</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（十一）指导自治区文化市场综合执法，组织查处全疆性、跨地区文化、旅游、文物、出版、广播电视、电影等市场的违法行为，督查督办大案要案，维护市场秩序。</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（十二）指导、管理文化和旅游对外及对港澳台交流、合作、宣传、推广。组织大型文化和旅游对外及对港澳台交流活动，推动中华文化走出去。</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（十三）指导统筹文物工作。负责文物保护管理、抢救维修、考古发掘、科技研究、文物鉴定、文物进出境以及宣传教育等工作。指导博物馆和革命文物工作。依法规范社会文物流通、经销和拍卖活动等工作。</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（十四）管理新疆艺术剧院。</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（十五）完成自治区党委、自治区人民政府交办的其他任务。</w:t>
      </w:r>
    </w:p>
    <w:p>
      <w:pPr>
        <w:pStyle w:val="9"/>
        <w:keepNext w:val="0"/>
        <w:keepLines w:val="0"/>
        <w:pageBreakBefore w:val="0"/>
        <w:numPr>
          <w:ilvl w:val="0"/>
          <w:numId w:val="1"/>
        </w:numPr>
        <w:kinsoku/>
        <w:wordWrap/>
        <w:overflowPunct/>
        <w:topLinePunct w:val="0"/>
        <w:autoSpaceDE/>
        <w:autoSpaceDN/>
        <w:bidi w:val="0"/>
        <w:adjustRightInd/>
        <w:snapToGrid/>
        <w:spacing w:line="560" w:lineRule="exact"/>
        <w:ind w:firstLineChars="0"/>
        <w:textAlignment w:val="auto"/>
        <w:rPr>
          <w:rFonts w:hint="eastAsia" w:ascii="黑体" w:hAnsi="黑体" w:eastAsia="黑体" w:cs="黑体"/>
          <w:sz w:val="32"/>
          <w:szCs w:val="32"/>
        </w:rPr>
      </w:pPr>
      <w:r>
        <w:rPr>
          <w:rFonts w:hint="eastAsia" w:ascii="黑体" w:hAnsi="黑体" w:eastAsia="黑体" w:cs="黑体"/>
          <w:sz w:val="32"/>
          <w:szCs w:val="32"/>
        </w:rPr>
        <w:t>预算调整情况</w:t>
      </w:r>
    </w:p>
    <w:p>
      <w:pPr>
        <w:keepNext w:val="0"/>
        <w:keepLines w:val="0"/>
        <w:pageBreakBefore w:val="0"/>
        <w:kinsoku/>
        <w:wordWrap/>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经自治区人大常委会批复，2019年</w:t>
      </w:r>
      <w:r>
        <w:rPr>
          <w:rFonts w:hint="eastAsia" w:ascii="仿宋_GB2312" w:hAnsi="仿宋_GB2312" w:eastAsia="仿宋_GB2312" w:cs="仿宋_GB2312"/>
          <w:sz w:val="32"/>
          <w:szCs w:val="32"/>
          <w:u w:val="none"/>
          <w:lang w:eastAsia="zh-CN"/>
        </w:rPr>
        <w:t>原文化厅</w:t>
      </w:r>
      <w:r>
        <w:rPr>
          <w:rFonts w:hint="eastAsia" w:ascii="仿宋_GB2312" w:hAnsi="仿宋_GB2312" w:eastAsia="仿宋_GB2312" w:cs="仿宋_GB2312"/>
          <w:sz w:val="32"/>
          <w:szCs w:val="32"/>
          <w:u w:val="none"/>
        </w:rPr>
        <w:t>年初部门预算总额为</w:t>
      </w:r>
      <w:r>
        <w:rPr>
          <w:rFonts w:hint="eastAsia" w:ascii="仿宋_GB2312" w:hAnsi="仿宋_GB2312" w:eastAsia="仿宋_GB2312" w:cs="仿宋_GB2312"/>
          <w:sz w:val="32"/>
          <w:szCs w:val="32"/>
          <w:u w:val="none"/>
          <w:lang w:val="en-US" w:eastAsia="zh-CN"/>
        </w:rPr>
        <w:t>33167.56</w:t>
      </w:r>
      <w:r>
        <w:rPr>
          <w:rFonts w:hint="eastAsia" w:ascii="仿宋_GB2312" w:hAnsi="仿宋_GB2312" w:eastAsia="仿宋_GB2312" w:cs="仿宋_GB2312"/>
          <w:sz w:val="32"/>
          <w:szCs w:val="32"/>
          <w:u w:val="none"/>
        </w:rPr>
        <w:t>万元。本次</w:t>
      </w:r>
      <w:r>
        <w:rPr>
          <w:rFonts w:hint="eastAsia" w:ascii="仿宋_GB2312" w:hAnsi="仿宋_GB2312" w:eastAsia="仿宋_GB2312" w:cs="仿宋_GB2312"/>
          <w:sz w:val="32"/>
          <w:szCs w:val="32"/>
          <w:u w:val="none"/>
          <w:lang w:eastAsia="zh-CN"/>
        </w:rPr>
        <w:t>调增</w:t>
      </w:r>
      <w:r>
        <w:rPr>
          <w:rFonts w:hint="eastAsia" w:ascii="仿宋_GB2312" w:hAnsi="仿宋_GB2312" w:eastAsia="仿宋_GB2312" w:cs="仿宋_GB2312"/>
          <w:sz w:val="32"/>
          <w:szCs w:val="32"/>
          <w:u w:val="none"/>
        </w:rPr>
        <w:t>预算</w:t>
      </w:r>
      <w:r>
        <w:rPr>
          <w:rFonts w:hint="eastAsia" w:ascii="仿宋_GB2312" w:hAnsi="仿宋_GB2312" w:eastAsia="仿宋_GB2312" w:cs="仿宋_GB2312"/>
          <w:sz w:val="32"/>
          <w:szCs w:val="32"/>
          <w:u w:val="none"/>
          <w:lang w:val="en-US" w:eastAsia="zh-CN"/>
        </w:rPr>
        <w:t>2367.66</w:t>
      </w:r>
      <w:r>
        <w:rPr>
          <w:rFonts w:hint="eastAsia" w:ascii="仿宋_GB2312" w:hAnsi="仿宋_GB2312" w:eastAsia="仿宋_GB2312" w:cs="仿宋_GB2312"/>
          <w:sz w:val="32"/>
          <w:szCs w:val="32"/>
          <w:u w:val="none"/>
        </w:rPr>
        <w:t>万元</w:t>
      </w:r>
      <w:r>
        <w:rPr>
          <w:rFonts w:hint="eastAsia" w:ascii="仿宋_GB2312" w:hAnsi="仿宋_GB2312" w:eastAsia="仿宋_GB2312" w:cs="仿宋_GB2312"/>
          <w:sz w:val="32"/>
          <w:szCs w:val="32"/>
          <w:u w:val="none"/>
          <w:lang w:eastAsia="zh-CN"/>
        </w:rPr>
        <w:t>，调减预算</w:t>
      </w:r>
      <w:r>
        <w:rPr>
          <w:rFonts w:hint="eastAsia" w:ascii="仿宋_GB2312" w:hAnsi="仿宋_GB2312" w:eastAsia="仿宋_GB2312" w:cs="仿宋_GB2312"/>
          <w:sz w:val="32"/>
          <w:szCs w:val="32"/>
          <w:u w:val="none"/>
          <w:lang w:val="en-US" w:eastAsia="zh-CN"/>
        </w:rPr>
        <w:t>14.97万元</w:t>
      </w:r>
      <w:r>
        <w:rPr>
          <w:rFonts w:hint="eastAsia" w:ascii="仿宋_GB2312" w:hAnsi="仿宋_GB2312" w:eastAsia="仿宋_GB2312" w:cs="仿宋_GB2312"/>
          <w:sz w:val="32"/>
          <w:szCs w:val="32"/>
          <w:u w:val="none"/>
        </w:rPr>
        <w:t>。具体情况为：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u w:val="none"/>
        </w:rPr>
        <w:t>因</w:t>
      </w:r>
      <w:r>
        <w:rPr>
          <w:rFonts w:hint="eastAsia" w:ascii="仿宋_GB2312" w:hAnsi="仿宋_GB2312" w:eastAsia="仿宋_GB2312" w:cs="仿宋_GB2312"/>
          <w:sz w:val="32"/>
          <w:szCs w:val="32"/>
          <w:u w:val="none"/>
          <w:lang w:eastAsia="zh-CN"/>
        </w:rPr>
        <w:t>原旅发委整体</w:t>
      </w:r>
      <w:r>
        <w:rPr>
          <w:rFonts w:hint="eastAsia" w:ascii="仿宋_GB2312" w:hAnsi="仿宋_GB2312" w:eastAsia="仿宋_GB2312" w:cs="仿宋_GB2312"/>
          <w:sz w:val="32"/>
          <w:szCs w:val="32"/>
          <w:u w:val="none"/>
        </w:rPr>
        <w:t>职能划入，</w:t>
      </w:r>
      <w:r>
        <w:rPr>
          <w:rFonts w:hint="eastAsia" w:ascii="仿宋_GB2312" w:hAnsi="仿宋_GB2312" w:eastAsia="仿宋_GB2312" w:cs="仿宋_GB2312"/>
          <w:sz w:val="32"/>
          <w:szCs w:val="32"/>
        </w:rPr>
        <w:t>划入预算</w:t>
      </w:r>
      <w:r>
        <w:rPr>
          <w:rFonts w:hint="eastAsia" w:ascii="仿宋_GB2312" w:hAnsi="仿宋_GB2312" w:eastAsia="仿宋_GB2312" w:cs="仿宋_GB2312"/>
          <w:sz w:val="32"/>
          <w:szCs w:val="32"/>
          <w:lang w:val="en-US" w:eastAsia="zh-CN"/>
        </w:rPr>
        <w:t>2367.66</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1550.66</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817</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u w:val="none"/>
        </w:rPr>
        <w:t>因</w:t>
      </w:r>
      <w:r>
        <w:rPr>
          <w:rFonts w:hint="eastAsia" w:ascii="仿宋_GB2312" w:hAnsi="仿宋_GB2312" w:eastAsia="仿宋_GB2312" w:cs="仿宋_GB2312"/>
          <w:sz w:val="32"/>
          <w:szCs w:val="32"/>
          <w:u w:val="none"/>
          <w:lang w:eastAsia="zh-CN"/>
        </w:rPr>
        <w:t>原旅发委主要领导调离岗位，在机构合并后，预算合并时，</w:t>
      </w:r>
      <w:r>
        <w:rPr>
          <w:rFonts w:hint="eastAsia" w:ascii="仿宋_GB2312" w:hAnsi="仿宋_GB2312" w:eastAsia="仿宋_GB2312" w:cs="仿宋_GB2312"/>
          <w:sz w:val="32"/>
          <w:szCs w:val="32"/>
          <w:u w:val="none"/>
        </w:rPr>
        <w:t>划出预算</w:t>
      </w: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lang w:val="en-US" w:eastAsia="zh-CN"/>
        </w:rPr>
        <w:t>4.97</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14.97</w:t>
      </w:r>
      <w:r>
        <w:rPr>
          <w:rFonts w:hint="eastAsia" w:ascii="仿宋_GB2312" w:hAnsi="仿宋_GB2312" w:eastAsia="仿宋_GB2312" w:cs="仿宋_GB2312"/>
          <w:sz w:val="32"/>
          <w:szCs w:val="32"/>
        </w:rPr>
        <w:t>万元；项目支出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keepNext w:val="0"/>
        <w:keepLines w:val="0"/>
        <w:pageBreakBefore w:val="0"/>
        <w:widowControl/>
        <w:kinsoku/>
        <w:wordWrap/>
        <w:overflowPunct/>
        <w:topLinePunct w:val="0"/>
        <w:bidi w:val="0"/>
        <w:snapToGrid/>
        <w:spacing w:line="560" w:lineRule="exact"/>
        <w:ind w:firstLine="640"/>
        <w:jc w:val="left"/>
        <w:rPr>
          <w:rFonts w:ascii="仿宋_GB2312" w:hAnsi="宋体" w:eastAsia="仿宋_GB2312" w:cs="宋体"/>
          <w:kern w:val="0"/>
          <w:sz w:val="32"/>
          <w:szCs w:val="32"/>
          <w:u w:val="none"/>
        </w:rPr>
      </w:pPr>
      <w:r>
        <w:rPr>
          <w:rFonts w:hint="eastAsia" w:ascii="仿宋_GB2312" w:hAnsi="仿宋_GB2312" w:eastAsia="仿宋_GB2312" w:cs="仿宋_GB2312"/>
          <w:sz w:val="32"/>
          <w:szCs w:val="32"/>
          <w:u w:val="none"/>
          <w:lang w:eastAsia="zh-CN"/>
        </w:rPr>
        <w:t xml:space="preserve">（三）“三公”经费变化情况：原旅发委“三公”经费财政拨款预算 57.66万元划入，“三公”经费合计为 </w:t>
      </w:r>
      <w:r>
        <w:rPr>
          <w:rFonts w:hint="eastAsia" w:ascii="仿宋_GB2312" w:hAnsi="仿宋_GB2312" w:eastAsia="仿宋_GB2312" w:cs="仿宋_GB2312"/>
          <w:sz w:val="32"/>
          <w:szCs w:val="32"/>
          <w:u w:val="none"/>
          <w:lang w:val="en-US" w:eastAsia="zh-CN"/>
        </w:rPr>
        <w:t>506.31万元。</w:t>
      </w:r>
      <w:r>
        <w:rPr>
          <w:rFonts w:hint="eastAsia" w:ascii="仿宋_GB2312" w:hAnsi="仿宋_GB2312" w:eastAsia="仿宋_GB2312" w:cs="仿宋_GB2312"/>
          <w:sz w:val="32"/>
          <w:szCs w:val="32"/>
          <w:u w:val="none"/>
          <w:lang w:eastAsia="zh-CN"/>
        </w:rPr>
        <w:t>其中：因公出国（境）费0万元，公务用车购置0万元，公务用车运行费</w:t>
      </w:r>
      <w:r>
        <w:rPr>
          <w:rFonts w:hint="eastAsia" w:ascii="仿宋_GB2312" w:hAnsi="仿宋_GB2312" w:eastAsia="仿宋_GB2312" w:cs="仿宋_GB2312"/>
          <w:sz w:val="32"/>
          <w:szCs w:val="32"/>
          <w:u w:val="none"/>
          <w:lang w:val="en-US" w:eastAsia="zh-CN"/>
        </w:rPr>
        <w:t>490.65</w:t>
      </w:r>
      <w:r>
        <w:rPr>
          <w:rFonts w:hint="eastAsia" w:ascii="仿宋_GB2312" w:hAnsi="仿宋_GB2312" w:eastAsia="仿宋_GB2312" w:cs="仿宋_GB2312"/>
          <w:sz w:val="32"/>
          <w:szCs w:val="32"/>
          <w:u w:val="none"/>
          <w:lang w:eastAsia="zh-CN"/>
        </w:rPr>
        <w:t>万元，公务接待费1</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lang w:eastAsia="zh-CN"/>
        </w:rPr>
        <w:t>.66万元。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u w:val="none"/>
        </w:rPr>
      </w:pPr>
      <w:r>
        <w:rPr>
          <w:rFonts w:hint="eastAsia" w:ascii="黑体" w:hAnsi="黑体" w:eastAsia="黑体" w:cs="黑体"/>
          <w:sz w:val="32"/>
          <w:szCs w:val="32"/>
          <w:u w:val="none"/>
        </w:rPr>
        <w:t>三、绩效目标调整情况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lang w:eastAsia="zh-CN"/>
        </w:rPr>
        <w:t>原文化厅系统</w:t>
      </w:r>
      <w:r>
        <w:rPr>
          <w:rFonts w:hint="eastAsia" w:ascii="仿宋_GB2312" w:hAnsi="仿宋_GB2312" w:eastAsia="仿宋_GB2312" w:cs="仿宋_GB2312"/>
          <w:sz w:val="32"/>
          <w:szCs w:val="32"/>
          <w:highlight w:val="none"/>
          <w:u w:val="none"/>
          <w:lang w:val="en-US" w:eastAsia="zh-CN"/>
        </w:rPr>
        <w:t>52个项目，其中厅本级6个项目，原22个下属单位维持原有机构设置，无调整变化；</w:t>
      </w:r>
      <w:r>
        <w:rPr>
          <w:rFonts w:hint="eastAsia" w:ascii="仿宋_GB2312" w:hAnsi="仿宋_GB2312" w:eastAsia="仿宋_GB2312" w:cs="仿宋_GB2312"/>
          <w:sz w:val="32"/>
          <w:szCs w:val="32"/>
          <w:highlight w:val="none"/>
          <w:u w:val="none"/>
        </w:rPr>
        <w:t>原</w:t>
      </w:r>
      <w:r>
        <w:rPr>
          <w:rFonts w:hint="eastAsia" w:ascii="仿宋_GB2312" w:hAnsi="仿宋_GB2312" w:eastAsia="仿宋_GB2312" w:cs="仿宋_GB2312"/>
          <w:sz w:val="32"/>
          <w:szCs w:val="32"/>
          <w:highlight w:val="none"/>
          <w:u w:val="none"/>
          <w:lang w:eastAsia="zh-CN"/>
        </w:rPr>
        <w:t>旅发委系统</w:t>
      </w:r>
      <w:r>
        <w:rPr>
          <w:rFonts w:hint="eastAsia" w:ascii="仿宋_GB2312" w:hAnsi="仿宋_GB2312" w:eastAsia="仿宋_GB2312" w:cs="仿宋_GB2312"/>
          <w:sz w:val="32"/>
          <w:szCs w:val="32"/>
          <w:highlight w:val="none"/>
          <w:u w:val="none"/>
          <w:lang w:val="en-US" w:eastAsia="zh-CN"/>
        </w:rPr>
        <w:t>5个项目</w:t>
      </w:r>
      <w:r>
        <w:rPr>
          <w:rFonts w:hint="eastAsia" w:ascii="仿宋_GB2312" w:hAnsi="仿宋_GB2312" w:eastAsia="仿宋_GB2312" w:cs="仿宋_GB2312"/>
          <w:sz w:val="32"/>
          <w:szCs w:val="32"/>
          <w:highlight w:val="none"/>
          <w:u w:val="none"/>
          <w:lang w:eastAsia="zh-CN"/>
        </w:rPr>
        <w:t>，其中委本级</w:t>
      </w:r>
      <w:r>
        <w:rPr>
          <w:rFonts w:hint="eastAsia" w:ascii="仿宋_GB2312" w:hAnsi="仿宋_GB2312" w:eastAsia="仿宋_GB2312" w:cs="仿宋_GB2312"/>
          <w:sz w:val="32"/>
          <w:szCs w:val="32"/>
          <w:highlight w:val="none"/>
          <w:u w:val="none"/>
          <w:lang w:val="en-US" w:eastAsia="zh-CN"/>
        </w:rPr>
        <w:t>2个项目，原4个下属单位维持原有机构设置，无调整变化。原文化厅和原旅发委财政拨款项目</w:t>
      </w:r>
      <w:r>
        <w:rPr>
          <w:rFonts w:hint="eastAsia" w:ascii="仿宋_GB2312" w:hAnsi="仿宋_GB2312" w:eastAsia="仿宋_GB2312" w:cs="仿宋_GB2312"/>
          <w:sz w:val="32"/>
          <w:szCs w:val="32"/>
          <w:highlight w:val="none"/>
          <w:u w:val="none"/>
        </w:rPr>
        <w:t>经费</w:t>
      </w:r>
      <w:r>
        <w:rPr>
          <w:rFonts w:hint="eastAsia" w:ascii="仿宋_GB2312" w:hAnsi="仿宋_GB2312" w:eastAsia="仿宋_GB2312" w:cs="仿宋_GB2312"/>
          <w:sz w:val="32"/>
          <w:szCs w:val="32"/>
          <w:highlight w:val="none"/>
          <w:u w:val="none"/>
          <w:lang w:eastAsia="zh-CN"/>
        </w:rPr>
        <w:t>整体合并，</w:t>
      </w:r>
      <w:r>
        <w:rPr>
          <w:rFonts w:hint="eastAsia" w:ascii="仿宋_GB2312" w:hAnsi="仿宋_GB2312" w:eastAsia="仿宋_GB2312" w:cs="仿宋_GB2312"/>
          <w:sz w:val="32"/>
          <w:szCs w:val="32"/>
          <w:highlight w:val="none"/>
          <w:u w:val="none"/>
        </w:rPr>
        <w:t>项目金额、性质</w:t>
      </w:r>
      <w:r>
        <w:rPr>
          <w:rFonts w:hint="eastAsia" w:ascii="仿宋_GB2312" w:hAnsi="仿宋_GB2312" w:eastAsia="仿宋_GB2312" w:cs="仿宋_GB2312"/>
          <w:sz w:val="32"/>
          <w:szCs w:val="32"/>
          <w:highlight w:val="none"/>
          <w:u w:val="none"/>
          <w:lang w:eastAsia="zh-CN"/>
        </w:rPr>
        <w:t>无</w:t>
      </w:r>
      <w:r>
        <w:rPr>
          <w:rFonts w:hint="eastAsia" w:ascii="仿宋_GB2312" w:hAnsi="仿宋_GB2312" w:eastAsia="仿宋_GB2312" w:cs="仿宋_GB2312"/>
          <w:sz w:val="32"/>
          <w:szCs w:val="32"/>
          <w:highlight w:val="none"/>
          <w:u w:val="none"/>
        </w:rPr>
        <w:t>发生变化，绩效目标</w:t>
      </w:r>
      <w:r>
        <w:rPr>
          <w:rFonts w:hint="eastAsia" w:ascii="仿宋_GB2312" w:hAnsi="仿宋_GB2312" w:eastAsia="仿宋_GB2312" w:cs="仿宋_GB2312"/>
          <w:sz w:val="32"/>
          <w:szCs w:val="32"/>
          <w:highlight w:val="none"/>
          <w:u w:val="none"/>
          <w:lang w:eastAsia="zh-CN"/>
        </w:rPr>
        <w:t>预算单位</w:t>
      </w:r>
      <w:r>
        <w:rPr>
          <w:rFonts w:hint="eastAsia" w:ascii="仿宋_GB2312" w:hAnsi="仿宋_GB2312" w:eastAsia="仿宋_GB2312" w:cs="仿宋_GB2312"/>
          <w:sz w:val="32"/>
          <w:szCs w:val="32"/>
          <w:highlight w:val="none"/>
          <w:u w:val="none"/>
        </w:rPr>
        <w:t>调整</w:t>
      </w:r>
      <w:r>
        <w:rPr>
          <w:rFonts w:hint="eastAsia" w:ascii="仿宋_GB2312" w:hAnsi="仿宋_GB2312" w:eastAsia="仿宋_GB2312" w:cs="仿宋_GB2312"/>
          <w:sz w:val="32"/>
          <w:szCs w:val="32"/>
          <w:highlight w:val="none"/>
          <w:u w:val="none"/>
          <w:lang w:eastAsia="zh-CN"/>
        </w:rPr>
        <w:t>为自治区文化和旅游厅</w:t>
      </w:r>
      <w:r>
        <w:rPr>
          <w:rFonts w:hint="eastAsia" w:ascii="仿宋_GB2312" w:hAnsi="仿宋_GB2312" w:eastAsia="仿宋_GB2312" w:cs="仿宋_GB2312"/>
          <w:sz w:val="32"/>
          <w:szCs w:val="32"/>
          <w:highlight w:val="none"/>
          <w:u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以上具体情况，详见附件。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sectPr>
          <w:footerReference r:id="rId3" w:type="default"/>
          <w:pgSz w:w="11906" w:h="16838"/>
          <w:pgMar w:top="1440" w:right="1800" w:bottom="1440" w:left="1800" w:header="851" w:footer="992" w:gutter="0"/>
          <w:cols w:space="425" w:num="1"/>
          <w:docGrid w:type="lines" w:linePitch="312" w:charSpace="0"/>
        </w:sectPr>
      </w:pPr>
    </w:p>
    <w:tbl>
      <w:tblPr>
        <w:tblW w:w="20610" w:type="dxa"/>
        <w:tblInd w:w="0" w:type="dxa"/>
        <w:shd w:val="clear"/>
        <w:tblLayout w:type="fixed"/>
        <w:tblCellMar>
          <w:top w:w="0" w:type="dxa"/>
          <w:left w:w="0" w:type="dxa"/>
          <w:bottom w:w="0" w:type="dxa"/>
          <w:right w:w="0" w:type="dxa"/>
        </w:tblCellMar>
      </w:tblPr>
      <w:tblGrid>
        <w:gridCol w:w="1343"/>
        <w:gridCol w:w="157"/>
        <w:gridCol w:w="743"/>
        <w:gridCol w:w="7"/>
        <w:gridCol w:w="359"/>
        <w:gridCol w:w="384"/>
        <w:gridCol w:w="316"/>
        <w:gridCol w:w="276"/>
        <w:gridCol w:w="390"/>
        <w:gridCol w:w="584"/>
        <w:gridCol w:w="376"/>
        <w:gridCol w:w="458"/>
        <w:gridCol w:w="502"/>
        <w:gridCol w:w="448"/>
        <w:gridCol w:w="416"/>
        <w:gridCol w:w="96"/>
        <w:gridCol w:w="420"/>
        <w:gridCol w:w="151"/>
        <w:gridCol w:w="269"/>
        <w:gridCol w:w="381"/>
        <w:gridCol w:w="174"/>
        <w:gridCol w:w="450"/>
        <w:gridCol w:w="193"/>
        <w:gridCol w:w="272"/>
        <w:gridCol w:w="480"/>
        <w:gridCol w:w="131"/>
        <w:gridCol w:w="517"/>
        <w:gridCol w:w="102"/>
        <w:gridCol w:w="514"/>
        <w:gridCol w:w="551"/>
        <w:gridCol w:w="433"/>
        <w:gridCol w:w="512"/>
        <w:gridCol w:w="238"/>
        <w:gridCol w:w="137"/>
        <w:gridCol w:w="375"/>
        <w:gridCol w:w="288"/>
        <w:gridCol w:w="87"/>
        <w:gridCol w:w="696"/>
        <w:gridCol w:w="189"/>
        <w:gridCol w:w="511"/>
        <w:gridCol w:w="374"/>
        <w:gridCol w:w="326"/>
        <w:gridCol w:w="559"/>
        <w:gridCol w:w="258"/>
        <w:gridCol w:w="177"/>
        <w:gridCol w:w="401"/>
        <w:gridCol w:w="169"/>
        <w:gridCol w:w="353"/>
        <w:gridCol w:w="232"/>
        <w:gridCol w:w="401"/>
        <w:gridCol w:w="333"/>
        <w:gridCol w:w="106"/>
        <w:gridCol w:w="194"/>
        <w:gridCol w:w="467"/>
        <w:gridCol w:w="239"/>
        <w:gridCol w:w="194"/>
        <w:gridCol w:w="286"/>
        <w:gridCol w:w="286"/>
        <w:gridCol w:w="329"/>
      </w:tblGrid>
      <w:tr>
        <w:tblPrEx>
          <w:shd w:val="clear"/>
          <w:tblLayout w:type="fixed"/>
          <w:tblCellMar>
            <w:top w:w="0" w:type="dxa"/>
            <w:left w:w="0" w:type="dxa"/>
            <w:bottom w:w="0" w:type="dxa"/>
            <w:right w:w="0" w:type="dxa"/>
          </w:tblCellMar>
        </w:tblPrEx>
        <w:trPr>
          <w:gridAfter w:val="1"/>
          <w:wAfter w:w="329" w:type="dxa"/>
          <w:trHeight w:val="360" w:hRule="atLeast"/>
        </w:trPr>
        <w:tc>
          <w:tcPr>
            <w:tcW w:w="20281" w:type="dxa"/>
            <w:gridSpan w:val="58"/>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自治党政机构改革部门单位预算调整情况表</w:t>
            </w:r>
          </w:p>
        </w:tc>
      </w:tr>
      <w:tr>
        <w:tblPrEx>
          <w:tblLayout w:type="fixed"/>
          <w:tblCellMar>
            <w:top w:w="0" w:type="dxa"/>
            <w:left w:w="0" w:type="dxa"/>
            <w:bottom w:w="0" w:type="dxa"/>
            <w:right w:w="0" w:type="dxa"/>
          </w:tblCellMar>
        </w:tblPrEx>
        <w:trPr>
          <w:gridAfter w:val="1"/>
          <w:wAfter w:w="329" w:type="dxa"/>
          <w:trHeight w:val="360" w:hRule="atLeast"/>
        </w:trPr>
        <w:tc>
          <w:tcPr>
            <w:tcW w:w="1343"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0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66"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84"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16"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250"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34"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5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16"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67"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5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17"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3"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1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6" w:type="dxa"/>
            <w:gridSpan w:val="2"/>
            <w:tcBorders>
              <w:top w:val="nil"/>
              <w:left w:val="nil"/>
              <w:bottom w:val="nil"/>
              <w:right w:val="nil"/>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984"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00" w:type="dxa"/>
            <w:gridSpan w:val="3"/>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83"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0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17"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78"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22"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33"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33"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30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67"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3"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72"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单位：万元</w:t>
            </w:r>
          </w:p>
        </w:tc>
      </w:tr>
      <w:tr>
        <w:tblPrEx>
          <w:tblLayout w:type="fixed"/>
          <w:tblCellMar>
            <w:top w:w="0" w:type="dxa"/>
            <w:left w:w="0" w:type="dxa"/>
            <w:bottom w:w="0" w:type="dxa"/>
            <w:right w:w="0" w:type="dxa"/>
          </w:tblCellMar>
        </w:tblPrEx>
        <w:trPr>
          <w:gridAfter w:val="1"/>
          <w:wAfter w:w="329" w:type="dxa"/>
          <w:trHeight w:val="420" w:hRule="atLeast"/>
        </w:trPr>
        <w:tc>
          <w:tcPr>
            <w:tcW w:w="10909" w:type="dxa"/>
            <w:gridSpan w:val="29"/>
            <w:tcBorders>
              <w:top w:val="single" w:color="000000" w:sz="4" w:space="0"/>
              <w:left w:val="single" w:color="000000" w:sz="4" w:space="0"/>
              <w:bottom w:val="single" w:color="000000" w:sz="4" w:space="0"/>
              <w:right w:val="single" w:color="000000" w:sz="4" w:space="0"/>
            </w:tcBorders>
            <w:shd w:val="clear" w:color="auto" w:fill="00B0F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原  部  门  单  位  预  算   情  况 </w:t>
            </w:r>
          </w:p>
        </w:tc>
        <w:tc>
          <w:tcPr>
            <w:tcW w:w="9372" w:type="dxa"/>
            <w:gridSpan w:val="29"/>
            <w:tcBorders>
              <w:top w:val="single" w:color="000000" w:sz="4" w:space="0"/>
              <w:left w:val="single" w:color="000000" w:sz="4" w:space="0"/>
              <w:bottom w:val="single" w:color="000000" w:sz="4" w:space="0"/>
              <w:right w:val="single" w:color="000000" w:sz="4" w:space="0"/>
            </w:tcBorders>
            <w:shd w:val="clear" w:color="auto" w:fill="92D05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划  出  预  算   情  况 </w:t>
            </w:r>
          </w:p>
        </w:tc>
      </w:tr>
      <w:tr>
        <w:tblPrEx>
          <w:tblLayout w:type="fixed"/>
          <w:tblCellMar>
            <w:top w:w="0" w:type="dxa"/>
            <w:left w:w="0" w:type="dxa"/>
            <w:bottom w:w="0" w:type="dxa"/>
            <w:right w:w="0" w:type="dxa"/>
          </w:tblCellMar>
        </w:tblPrEx>
        <w:trPr>
          <w:gridAfter w:val="1"/>
          <w:wAfter w:w="329" w:type="dxa"/>
          <w:trHeight w:val="500" w:hRule="atLeast"/>
        </w:trPr>
        <w:tc>
          <w:tcPr>
            <w:tcW w:w="1343" w:type="dxa"/>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原部门单位名称</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项目类别及项目名称</w:t>
            </w:r>
          </w:p>
        </w:tc>
        <w:tc>
          <w:tcPr>
            <w:tcW w:w="366"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支出功能科目（项级）</w:t>
            </w:r>
          </w:p>
        </w:tc>
        <w:tc>
          <w:tcPr>
            <w:tcW w:w="384"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部门经济科目（款级）</w:t>
            </w:r>
          </w:p>
        </w:tc>
        <w:tc>
          <w:tcPr>
            <w:tcW w:w="31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政府经济科目（款级）</w:t>
            </w:r>
          </w:p>
        </w:tc>
        <w:tc>
          <w:tcPr>
            <w:tcW w:w="1250"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总  计</w:t>
            </w:r>
          </w:p>
        </w:tc>
        <w:tc>
          <w:tcPr>
            <w:tcW w:w="2200"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  政  拨  款  (  补  助  )</w:t>
            </w:r>
          </w:p>
        </w:tc>
        <w:tc>
          <w:tcPr>
            <w:tcW w:w="667" w:type="dxa"/>
            <w:gridSpan w:val="3"/>
            <w:vMerge w:val="restart"/>
            <w:tcBorders>
              <w:top w:val="single" w:color="000000" w:sz="4" w:space="0"/>
              <w:left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财政专户管理资金（教育收费）</w:t>
            </w:r>
          </w:p>
        </w:tc>
        <w:tc>
          <w:tcPr>
            <w:tcW w:w="650" w:type="dxa"/>
            <w:gridSpan w:val="2"/>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事业收入</w:t>
            </w:r>
          </w:p>
        </w:tc>
        <w:tc>
          <w:tcPr>
            <w:tcW w:w="817" w:type="dxa"/>
            <w:gridSpan w:val="3"/>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事业单位经营收入</w:t>
            </w:r>
          </w:p>
        </w:tc>
        <w:tc>
          <w:tcPr>
            <w:tcW w:w="883" w:type="dxa"/>
            <w:gridSpan w:val="3"/>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其他收入</w:t>
            </w:r>
          </w:p>
        </w:tc>
        <w:tc>
          <w:tcPr>
            <w:tcW w:w="517" w:type="dxa"/>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用事业基金弥补收支差额</w:t>
            </w:r>
          </w:p>
        </w:tc>
        <w:tc>
          <w:tcPr>
            <w:tcW w:w="616" w:type="dxa"/>
            <w:gridSpan w:val="2"/>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单位上年结余（不包括国库集中支付额度结余）</w:t>
            </w:r>
          </w:p>
        </w:tc>
        <w:tc>
          <w:tcPr>
            <w:tcW w:w="984" w:type="dxa"/>
            <w:gridSpan w:val="2"/>
            <w:vMerge w:val="restart"/>
            <w:tcBorders>
              <w:top w:val="single" w:color="000000" w:sz="4" w:space="0"/>
              <w:left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划出部门单位名称</w:t>
            </w:r>
          </w:p>
        </w:tc>
        <w:tc>
          <w:tcPr>
            <w:tcW w:w="750" w:type="dxa"/>
            <w:gridSpan w:val="2"/>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项目类别及项目名称</w:t>
            </w:r>
          </w:p>
        </w:tc>
        <w:tc>
          <w:tcPr>
            <w:tcW w:w="800" w:type="dxa"/>
            <w:gridSpan w:val="3"/>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支出功能科目（项级）</w:t>
            </w:r>
          </w:p>
        </w:tc>
        <w:tc>
          <w:tcPr>
            <w:tcW w:w="783" w:type="dxa"/>
            <w:gridSpan w:val="2"/>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部门经济科目（款级）</w:t>
            </w:r>
          </w:p>
        </w:tc>
        <w:tc>
          <w:tcPr>
            <w:tcW w:w="700" w:type="dxa"/>
            <w:gridSpan w:val="2"/>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政府经济科目（款级）</w:t>
            </w:r>
          </w:p>
        </w:tc>
        <w:tc>
          <w:tcPr>
            <w:tcW w:w="700" w:type="dxa"/>
            <w:gridSpan w:val="2"/>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总  计</w:t>
            </w:r>
          </w:p>
        </w:tc>
        <w:tc>
          <w:tcPr>
            <w:tcW w:w="1917"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  政  拨  款  (  补  助  )</w:t>
            </w:r>
          </w:p>
        </w:tc>
        <w:tc>
          <w:tcPr>
            <w:tcW w:w="633" w:type="dxa"/>
            <w:gridSpan w:val="2"/>
            <w:vMerge w:val="restart"/>
            <w:tcBorders>
              <w:top w:val="single" w:color="000000" w:sz="4" w:space="0"/>
              <w:left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财政专户管理资金（教育收费）</w:t>
            </w:r>
          </w:p>
        </w:tc>
        <w:tc>
          <w:tcPr>
            <w:tcW w:w="333"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事业收入</w:t>
            </w:r>
          </w:p>
        </w:tc>
        <w:tc>
          <w:tcPr>
            <w:tcW w:w="300" w:type="dxa"/>
            <w:gridSpan w:val="2"/>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事业单位经营收入</w:t>
            </w:r>
          </w:p>
        </w:tc>
        <w:tc>
          <w:tcPr>
            <w:tcW w:w="467" w:type="dxa"/>
            <w:vMerge w:val="restart"/>
            <w:tcBorders>
              <w:top w:val="single" w:color="000000" w:sz="4" w:space="0"/>
              <w:left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其他收入</w:t>
            </w:r>
          </w:p>
        </w:tc>
        <w:tc>
          <w:tcPr>
            <w:tcW w:w="433" w:type="dxa"/>
            <w:gridSpan w:val="2"/>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用事业基金弥补收支差额</w:t>
            </w:r>
          </w:p>
        </w:tc>
        <w:tc>
          <w:tcPr>
            <w:tcW w:w="572" w:type="dxa"/>
            <w:gridSpan w:val="2"/>
            <w:vMerge w:val="restart"/>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单位上年结余（不包括国库集中支付额度结余）</w:t>
            </w:r>
          </w:p>
        </w:tc>
      </w:tr>
      <w:tr>
        <w:tblPrEx>
          <w:tblLayout w:type="fixed"/>
          <w:tblCellMar>
            <w:top w:w="0" w:type="dxa"/>
            <w:left w:w="0" w:type="dxa"/>
            <w:bottom w:w="0" w:type="dxa"/>
            <w:right w:w="0" w:type="dxa"/>
          </w:tblCellMar>
        </w:tblPrEx>
        <w:trPr>
          <w:gridAfter w:val="1"/>
          <w:wAfter w:w="329" w:type="dxa"/>
          <w:trHeight w:val="1480" w:hRule="atLeast"/>
        </w:trPr>
        <w:tc>
          <w:tcPr>
            <w:tcW w:w="1343" w:type="dxa"/>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66"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384"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31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2"/>
                <w:szCs w:val="12"/>
                <w:u w:val="none"/>
              </w:rPr>
            </w:pPr>
          </w:p>
        </w:tc>
        <w:tc>
          <w:tcPr>
            <w:tcW w:w="1250"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4"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财政拨款(补助)小计</w:t>
            </w:r>
          </w:p>
        </w:tc>
        <w:tc>
          <w:tcPr>
            <w:tcW w:w="950"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一般公共预算</w:t>
            </w:r>
          </w:p>
        </w:tc>
        <w:tc>
          <w:tcPr>
            <w:tcW w:w="416"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3"/>
                <w:szCs w:val="13"/>
                <w:u w:val="none"/>
                <w:bdr w:val="none" w:color="auto" w:sz="0" w:space="0"/>
                <w:lang w:val="en-US" w:eastAsia="zh-CN" w:bidi="ar"/>
              </w:rPr>
              <w:t>政府性基金预算</w:t>
            </w:r>
          </w:p>
        </w:tc>
        <w:tc>
          <w:tcPr>
            <w:tcW w:w="667" w:type="dxa"/>
            <w:gridSpan w:val="3"/>
            <w:vMerge w:val="continue"/>
            <w:tcBorders>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50" w:type="dxa"/>
            <w:gridSpan w:val="2"/>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7" w:type="dxa"/>
            <w:gridSpan w:val="3"/>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3" w:type="dxa"/>
            <w:gridSpan w:val="3"/>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17"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6" w:type="dxa"/>
            <w:gridSpan w:val="2"/>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84" w:type="dxa"/>
            <w:gridSpan w:val="2"/>
            <w:vMerge w:val="continue"/>
            <w:tcBorders>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50" w:type="dxa"/>
            <w:gridSpan w:val="2"/>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0" w:type="dxa"/>
            <w:gridSpan w:val="3"/>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3" w:type="dxa"/>
            <w:gridSpan w:val="2"/>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0" w:type="dxa"/>
            <w:gridSpan w:val="2"/>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00" w:type="dxa"/>
            <w:gridSpan w:val="2"/>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17"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财政拨款(补助)小计</w:t>
            </w:r>
          </w:p>
        </w:tc>
        <w:tc>
          <w:tcPr>
            <w:tcW w:w="578"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一般公共预算</w:t>
            </w:r>
          </w:p>
        </w:tc>
        <w:tc>
          <w:tcPr>
            <w:tcW w:w="522"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政府性基金预算</w:t>
            </w:r>
          </w:p>
        </w:tc>
        <w:tc>
          <w:tcPr>
            <w:tcW w:w="633" w:type="dxa"/>
            <w:gridSpan w:val="2"/>
            <w:vMerge w:val="continue"/>
            <w:tcBorders>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3"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00" w:type="dxa"/>
            <w:gridSpan w:val="2"/>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67" w:type="dxa"/>
            <w:vMerge w:val="continue"/>
            <w:tcBorders>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33" w:type="dxa"/>
            <w:gridSpan w:val="2"/>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2" w:type="dxa"/>
            <w:gridSpan w:val="2"/>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Layout w:type="fixed"/>
          <w:tblCellMar>
            <w:top w:w="0" w:type="dxa"/>
            <w:left w:w="0" w:type="dxa"/>
            <w:bottom w:w="0" w:type="dxa"/>
            <w:right w:w="0" w:type="dxa"/>
          </w:tblCellMar>
        </w:tblPrEx>
        <w:trPr>
          <w:gridAfter w:val="1"/>
          <w:wAfter w:w="329" w:type="dxa"/>
          <w:trHeight w:val="480" w:hRule="atLeast"/>
        </w:trPr>
        <w:tc>
          <w:tcPr>
            <w:tcW w:w="1343"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3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3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12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2"/>
                <w:szCs w:val="12"/>
                <w:u w:val="none"/>
              </w:rPr>
            </w:pPr>
            <w:r>
              <w:rPr>
                <w:rFonts w:hint="eastAsia" w:ascii="宋体" w:hAnsi="宋体" w:eastAsia="宋体" w:cs="宋体"/>
                <w:i w:val="0"/>
                <w:color w:val="000000"/>
                <w:kern w:val="0"/>
                <w:sz w:val="12"/>
                <w:szCs w:val="12"/>
                <w:u w:val="none"/>
                <w:bdr w:val="none" w:color="auto" w:sz="0" w:space="0"/>
                <w:lang w:val="en-US" w:eastAsia="zh-CN" w:bidi="ar"/>
              </w:rPr>
              <w:t>5=6+9+10+11+12+13+14</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6=7+8</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4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66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88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61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8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78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7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817"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57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3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5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r>
      <w:tr>
        <w:tblPrEx>
          <w:tblLayout w:type="fixed"/>
          <w:tblCellMar>
            <w:top w:w="0" w:type="dxa"/>
            <w:left w:w="0" w:type="dxa"/>
            <w:bottom w:w="0" w:type="dxa"/>
            <w:right w:w="0" w:type="dxa"/>
          </w:tblCellMar>
        </w:tblPrEx>
        <w:trPr>
          <w:gridAfter w:val="1"/>
          <w:wAfter w:w="329" w:type="dxa"/>
          <w:trHeight w:val="480" w:hRule="atLeast"/>
        </w:trPr>
        <w:tc>
          <w:tcPr>
            <w:tcW w:w="1343" w:type="dxa"/>
            <w:tcBorders>
              <w:top w:val="single" w:color="auto" w:sz="4" w:space="0"/>
              <w:left w:val="single" w:color="auto" w:sz="4" w:space="0"/>
              <w:bottom w:val="single" w:color="000000" w:sz="4" w:space="0"/>
              <w:right w:val="single" w:color="auto"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自治区文化和旅游厅</w:t>
            </w:r>
          </w:p>
        </w:tc>
        <w:tc>
          <w:tcPr>
            <w:tcW w:w="900" w:type="dxa"/>
            <w:gridSpan w:val="2"/>
            <w:tcBorders>
              <w:top w:val="single" w:color="000000" w:sz="4" w:space="0"/>
              <w:left w:val="single" w:color="auto"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合计</w:t>
            </w:r>
          </w:p>
        </w:tc>
        <w:tc>
          <w:tcPr>
            <w:tcW w:w="3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33167.56</w:t>
            </w: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28640.58</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28640.58</w:t>
            </w:r>
          </w:p>
        </w:tc>
        <w:tc>
          <w:tcPr>
            <w:tcW w:w="4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748</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1608.89</w:t>
            </w:r>
          </w:p>
        </w:tc>
        <w:tc>
          <w:tcPr>
            <w:tcW w:w="88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2087.09</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77</w:t>
            </w:r>
          </w:p>
        </w:tc>
        <w:tc>
          <w:tcPr>
            <w:tcW w:w="61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退役军人事务管理局</w:t>
            </w:r>
          </w:p>
        </w:tc>
        <w:tc>
          <w:tcPr>
            <w:tcW w:w="750" w:type="dxa"/>
            <w:gridSpan w:val="2"/>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基本     支出</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14.97</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14.97</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14.97</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480" w:hRule="atLeast"/>
        </w:trPr>
        <w:tc>
          <w:tcPr>
            <w:tcW w:w="1343" w:type="dxa"/>
            <w:tcBorders>
              <w:top w:val="nil"/>
              <w:left w:val="single" w:color="auto" w:sz="4" w:space="0"/>
              <w:bottom w:val="single" w:color="auto" w:sz="4" w:space="0"/>
              <w:right w:val="single" w:color="auto" w:sz="4" w:space="0"/>
            </w:tcBorders>
            <w:shd w:val="clear"/>
            <w:noWrap/>
            <w:tcMar>
              <w:top w:w="15" w:type="dxa"/>
              <w:left w:w="15" w:type="dxa"/>
              <w:right w:w="15" w:type="dxa"/>
            </w:tcMar>
            <w:vAlign w:val="bottom"/>
          </w:tcPr>
          <w:p>
            <w:pP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auto"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基本    支出</w:t>
            </w:r>
          </w:p>
        </w:tc>
        <w:tc>
          <w:tcPr>
            <w:tcW w:w="3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20498.08</w:t>
            </w: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19575.66</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19575.66</w:t>
            </w:r>
          </w:p>
        </w:tc>
        <w:tc>
          <w:tcPr>
            <w:tcW w:w="4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364</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202.37</w:t>
            </w:r>
          </w:p>
        </w:tc>
        <w:tc>
          <w:tcPr>
            <w:tcW w:w="88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356.05</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人员支出</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2070101行政运行</w:t>
            </w: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13.52</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13.52</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13.52</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480" w:hRule="atLeast"/>
        </w:trPr>
        <w:tc>
          <w:tcPr>
            <w:tcW w:w="1343"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    支出</w:t>
            </w:r>
          </w:p>
        </w:tc>
        <w:tc>
          <w:tcPr>
            <w:tcW w:w="3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12669.48</w:t>
            </w: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9064.92</w:t>
            </w: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9064.92</w:t>
            </w:r>
          </w:p>
        </w:tc>
        <w:tc>
          <w:tcPr>
            <w:tcW w:w="4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384</w:t>
            </w: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1406.52</w:t>
            </w:r>
          </w:p>
        </w:tc>
        <w:tc>
          <w:tcPr>
            <w:tcW w:w="88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1731.04</w:t>
            </w: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c>
          <w:tcPr>
            <w:tcW w:w="61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统发基本工资</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基本工资</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工资奖金    津补贴</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6.14</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6.14</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6.14</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480" w:hRule="atLeast"/>
        </w:trPr>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统发国家规定津补贴</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津贴补贴</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工资奖金     津补贴</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3.24</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3.24</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3.24</w:t>
            </w:r>
          </w:p>
        </w:tc>
        <w:tc>
          <w:tcPr>
            <w:tcW w:w="52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496" w:hRule="atLeast"/>
        </w:trPr>
        <w:tc>
          <w:tcPr>
            <w:tcW w:w="13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统发保留地区补贴</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津贴补贴</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工资奖金    津补贴</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0.65</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0.65</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0.65</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512" w:hRule="atLeast"/>
        </w:trPr>
        <w:tc>
          <w:tcPr>
            <w:tcW w:w="13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统发地方津贴补贴</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津贴补贴</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工资奖金    津补贴</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0.45</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0.45</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0.45</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539" w:hRule="atLeast"/>
        </w:trPr>
        <w:tc>
          <w:tcPr>
            <w:tcW w:w="1343" w:type="dxa"/>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84" w:type="dxa"/>
            <w:gridSpan w:val="2"/>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统发年终一次性奖金</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奖金</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工资奖金    津补贴</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0.68</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0.68</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0.68</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707" w:hRule="atLeast"/>
        </w:trPr>
        <w:tc>
          <w:tcPr>
            <w:tcW w:w="134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职工基本医疗保险</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职工基本医疗保险缴费</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社会保障缴费</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0.63</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0.63</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0.63</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684" w:hRule="atLeast"/>
        </w:trPr>
        <w:tc>
          <w:tcPr>
            <w:tcW w:w="1343"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公务员医疗补助</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公务员医疗补助缴费</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社会保障  缴费</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0.49</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0.49</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0.49</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499" w:hRule="atLeast"/>
        </w:trPr>
        <w:tc>
          <w:tcPr>
            <w:tcW w:w="13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生育保险</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其他社会保障缴费</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社会保    障缴费</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0.04</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0.04</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0.04</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315" w:hRule="atLeast"/>
        </w:trPr>
        <w:tc>
          <w:tcPr>
            <w:tcW w:w="13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住房公积金</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住房公积金</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住房公积金</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0.87</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0.87</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0.87</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565" w:hRule="atLeast"/>
        </w:trPr>
        <w:tc>
          <w:tcPr>
            <w:tcW w:w="134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人员支出其他</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3"/>
                <w:szCs w:val="13"/>
                <w:u w:val="none"/>
              </w:rPr>
            </w:pPr>
          </w:p>
        </w:tc>
        <w:tc>
          <w:tcPr>
            <w:tcW w:w="78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其他工资福利支出</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其他工资福利支出</w:t>
            </w:r>
          </w:p>
        </w:tc>
        <w:tc>
          <w:tcPr>
            <w:tcW w:w="7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0.33</w:t>
            </w:r>
          </w:p>
        </w:tc>
        <w:tc>
          <w:tcPr>
            <w:tcW w:w="817"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0.33</w:t>
            </w:r>
          </w:p>
        </w:tc>
        <w:tc>
          <w:tcPr>
            <w:tcW w:w="578"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0.33</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gridAfter w:val="1"/>
          <w:wAfter w:w="329" w:type="dxa"/>
          <w:trHeight w:val="860" w:hRule="atLeast"/>
        </w:trPr>
        <w:tc>
          <w:tcPr>
            <w:tcW w:w="134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6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8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34"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1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6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5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17"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3"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6"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8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对个人和家庭的补助支出</w:t>
            </w:r>
          </w:p>
        </w:tc>
        <w:tc>
          <w:tcPr>
            <w:tcW w:w="8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w:t>
            </w:r>
            <w:r>
              <w:rPr>
                <w:rFonts w:hint="eastAsia" w:ascii="宋体" w:hAnsi="宋体" w:eastAsia="宋体" w:cs="宋体"/>
                <w:i w:val="0"/>
                <w:color w:val="000000"/>
                <w:kern w:val="0"/>
                <w:sz w:val="11"/>
                <w:szCs w:val="11"/>
                <w:u w:val="none"/>
                <w:bdr w:val="none" w:color="auto" w:sz="0" w:space="0"/>
                <w:lang w:val="en-US" w:eastAsia="zh-CN" w:bidi="ar"/>
              </w:rPr>
              <w:t>080505机关事业单位基本养老保险缴费支出</w:t>
            </w:r>
          </w:p>
        </w:tc>
        <w:tc>
          <w:tcPr>
            <w:tcW w:w="783"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机关事业单位基本养老保险缴费</w:t>
            </w:r>
          </w:p>
        </w:tc>
        <w:tc>
          <w:tcPr>
            <w:tcW w:w="70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社会保障缴费</w:t>
            </w:r>
          </w:p>
        </w:tc>
        <w:tc>
          <w:tcPr>
            <w:tcW w:w="700"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w:t>
            </w:r>
          </w:p>
        </w:tc>
        <w:tc>
          <w:tcPr>
            <w:tcW w:w="817"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w:t>
            </w:r>
          </w:p>
        </w:tc>
        <w:tc>
          <w:tcPr>
            <w:tcW w:w="578" w:type="dxa"/>
            <w:gridSpan w:val="2"/>
            <w:tcBorders>
              <w:top w:val="single" w:color="000000" w:sz="4" w:space="0"/>
              <w:left w:val="single" w:color="000000" w:sz="4" w:space="0"/>
              <w:bottom w:val="single" w:color="000000" w:sz="4" w:space="0"/>
              <w:right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w:t>
            </w:r>
          </w:p>
        </w:tc>
        <w:tc>
          <w:tcPr>
            <w:tcW w:w="52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3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3"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2"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60" w:hRule="atLeast"/>
        </w:trPr>
        <w:tc>
          <w:tcPr>
            <w:tcW w:w="150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59" w:type="dxa"/>
            <w:gridSpan w:val="3"/>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6"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90"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2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2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5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5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6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50" w:type="dxa"/>
            <w:gridSpan w:val="3"/>
            <w:tcBorders>
              <w:top w:val="nil"/>
              <w:left w:val="nil"/>
              <w:bottom w:val="nil"/>
              <w:right w:val="nil"/>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5"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7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8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40"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00"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615" w:type="dxa"/>
            <w:gridSpan w:val="2"/>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附表3</w:t>
            </w:r>
          </w:p>
        </w:tc>
      </w:tr>
      <w:tr>
        <w:tblPrEx>
          <w:tblLayout w:type="fixed"/>
          <w:tblCellMar>
            <w:top w:w="0" w:type="dxa"/>
            <w:left w:w="0" w:type="dxa"/>
            <w:bottom w:w="0" w:type="dxa"/>
            <w:right w:w="0" w:type="dxa"/>
          </w:tblCellMar>
        </w:tblPrEx>
        <w:trPr>
          <w:trHeight w:val="360" w:hRule="atLeast"/>
        </w:trPr>
        <w:tc>
          <w:tcPr>
            <w:tcW w:w="20610" w:type="dxa"/>
            <w:gridSpan w:val="59"/>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bdr w:val="none" w:color="auto" w:sz="0" w:space="0"/>
                <w:lang w:val="en-US" w:eastAsia="zh-CN" w:bidi="ar"/>
              </w:rPr>
              <w:t>自治党政机构改革部门单位预算调整情况表</w:t>
            </w:r>
          </w:p>
        </w:tc>
      </w:tr>
      <w:tr>
        <w:tblPrEx>
          <w:tblLayout w:type="fixed"/>
          <w:tblCellMar>
            <w:top w:w="0" w:type="dxa"/>
            <w:left w:w="0" w:type="dxa"/>
            <w:bottom w:w="0" w:type="dxa"/>
            <w:right w:w="0" w:type="dxa"/>
          </w:tblCellMar>
        </w:tblPrEx>
        <w:trPr>
          <w:trHeight w:val="360" w:hRule="atLeast"/>
        </w:trPr>
        <w:tc>
          <w:tcPr>
            <w:tcW w:w="150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750"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059" w:type="dxa"/>
            <w:gridSpan w:val="3"/>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276"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90"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6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960"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2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2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5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5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6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80" w:type="dxa"/>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750" w:type="dxa"/>
            <w:gridSpan w:val="3"/>
            <w:tcBorders>
              <w:top w:val="nil"/>
              <w:left w:val="nil"/>
              <w:bottom w:val="nil"/>
              <w:right w:val="nil"/>
            </w:tcBorders>
            <w:shd w:val="clear"/>
            <w:noWrap/>
            <w:tcMar>
              <w:top w:w="15" w:type="dxa"/>
              <w:left w:w="15" w:type="dxa"/>
              <w:right w:w="15" w:type="dxa"/>
            </w:tcMar>
            <w:vAlign w:val="center"/>
          </w:tcPr>
          <w:p>
            <w:pPr>
              <w:jc w:val="right"/>
              <w:rPr>
                <w:rFonts w:hint="eastAsia" w:ascii="宋体" w:hAnsi="宋体" w:eastAsia="宋体" w:cs="宋体"/>
                <w:i w:val="0"/>
                <w:color w:val="000000"/>
                <w:sz w:val="20"/>
                <w:szCs w:val="20"/>
                <w:u w:val="none"/>
              </w:rPr>
            </w:pPr>
          </w:p>
        </w:tc>
        <w:tc>
          <w:tcPr>
            <w:tcW w:w="106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94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5" w:type="dxa"/>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375" w:type="dxa"/>
            <w:gridSpan w:val="2"/>
            <w:tcBorders>
              <w:top w:val="nil"/>
              <w:left w:val="nil"/>
              <w:bottom w:val="nil"/>
              <w:right w:val="nil"/>
            </w:tcBorders>
            <w:shd w:val="clear"/>
            <w:noWrap/>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88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8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43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70"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585" w:type="dxa"/>
            <w:gridSpan w:val="2"/>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840" w:type="dxa"/>
            <w:gridSpan w:val="3"/>
            <w:tcBorders>
              <w:top w:val="nil"/>
              <w:left w:val="nil"/>
              <w:bottom w:val="nil"/>
              <w:right w:val="nil"/>
            </w:tcBorders>
            <w:shd w:val="clear"/>
            <w:noWrap/>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995" w:type="dxa"/>
            <w:gridSpan w:val="7"/>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单位：万元</w:t>
            </w:r>
          </w:p>
        </w:tc>
      </w:tr>
      <w:tr>
        <w:tblPrEx>
          <w:tblLayout w:type="fixed"/>
          <w:tblCellMar>
            <w:top w:w="0" w:type="dxa"/>
            <w:left w:w="0" w:type="dxa"/>
            <w:bottom w:w="0" w:type="dxa"/>
            <w:right w:w="0" w:type="dxa"/>
          </w:tblCellMar>
        </w:tblPrEx>
        <w:trPr>
          <w:trHeight w:val="420" w:hRule="atLeast"/>
        </w:trPr>
        <w:tc>
          <w:tcPr>
            <w:tcW w:w="10395" w:type="dxa"/>
            <w:gridSpan w:val="28"/>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划   入  预  算   情  况 </w:t>
            </w:r>
          </w:p>
        </w:tc>
        <w:tc>
          <w:tcPr>
            <w:tcW w:w="10215" w:type="dxa"/>
            <w:gridSpan w:val="31"/>
            <w:tcBorders>
              <w:top w:val="single" w:color="000000" w:sz="4" w:space="0"/>
              <w:left w:val="single" w:color="000000" w:sz="4" w:space="0"/>
              <w:bottom w:val="single" w:color="000000" w:sz="4" w:space="0"/>
              <w:right w:val="single" w:color="000000" w:sz="4" w:space="0"/>
            </w:tcBorders>
            <w:shd w:val="clear" w:color="auto" w:fill="FFC0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调   整   后  预  算   情  况 </w:t>
            </w:r>
          </w:p>
        </w:tc>
      </w:tr>
      <w:tr>
        <w:tblPrEx>
          <w:tblLayout w:type="fixed"/>
          <w:tblCellMar>
            <w:top w:w="0" w:type="dxa"/>
            <w:left w:w="0" w:type="dxa"/>
            <w:bottom w:w="0" w:type="dxa"/>
            <w:right w:w="0" w:type="dxa"/>
          </w:tblCellMar>
        </w:tblPrEx>
        <w:trPr>
          <w:trHeight w:val="500" w:hRule="atLeast"/>
        </w:trPr>
        <w:tc>
          <w:tcPr>
            <w:tcW w:w="1500" w:type="dxa"/>
            <w:gridSpan w:val="2"/>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划入部门单位名称</w:t>
            </w:r>
          </w:p>
        </w:tc>
        <w:tc>
          <w:tcPr>
            <w:tcW w:w="750"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项目类别及项目名称</w:t>
            </w:r>
          </w:p>
        </w:tc>
        <w:tc>
          <w:tcPr>
            <w:tcW w:w="1059"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支出功能科目（项级）</w:t>
            </w:r>
          </w:p>
        </w:tc>
        <w:tc>
          <w:tcPr>
            <w:tcW w:w="276"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部门经济科目（款级）</w:t>
            </w:r>
          </w:p>
        </w:tc>
        <w:tc>
          <w:tcPr>
            <w:tcW w:w="39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政府经济科目（款级）</w:t>
            </w: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总  计</w:t>
            </w:r>
          </w:p>
        </w:tc>
        <w:tc>
          <w:tcPr>
            <w:tcW w:w="2340"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  政  拨  款  (  补  助  )</w:t>
            </w:r>
          </w:p>
        </w:tc>
        <w:tc>
          <w:tcPr>
            <w:tcW w:w="420" w:type="dxa"/>
            <w:gridSpan w:val="2"/>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财政专户管理资金（教育收费）</w:t>
            </w:r>
          </w:p>
        </w:tc>
        <w:tc>
          <w:tcPr>
            <w:tcW w:w="55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事业收入</w:t>
            </w:r>
          </w:p>
        </w:tc>
        <w:tc>
          <w:tcPr>
            <w:tcW w:w="45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事业单位经营收入</w:t>
            </w:r>
          </w:p>
        </w:tc>
        <w:tc>
          <w:tcPr>
            <w:tcW w:w="46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其他收入</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用事业基金弥补收支差额</w:t>
            </w:r>
          </w:p>
        </w:tc>
        <w:tc>
          <w:tcPr>
            <w:tcW w:w="750"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单位上年结余（不包括国库集中支付额度结余）</w:t>
            </w:r>
          </w:p>
        </w:tc>
        <w:tc>
          <w:tcPr>
            <w:tcW w:w="1065" w:type="dxa"/>
            <w:gridSpan w:val="2"/>
            <w:vMerge w:val="restart"/>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调整后部门单位名称</w:t>
            </w:r>
          </w:p>
        </w:tc>
        <w:tc>
          <w:tcPr>
            <w:tcW w:w="94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项目类别及项目名称</w:t>
            </w:r>
          </w:p>
        </w:tc>
        <w:tc>
          <w:tcPr>
            <w:tcW w:w="37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支出功能科目（项级）</w:t>
            </w:r>
          </w:p>
        </w:tc>
        <w:tc>
          <w:tcPr>
            <w:tcW w:w="375"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部门经济科目（款级）</w:t>
            </w:r>
          </w:p>
        </w:tc>
        <w:tc>
          <w:tcPr>
            <w:tcW w:w="37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政府经济科目（款级）</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总  计</w:t>
            </w:r>
          </w:p>
        </w:tc>
        <w:tc>
          <w:tcPr>
            <w:tcW w:w="2205" w:type="dxa"/>
            <w:gridSpan w:val="6"/>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  政  拨  款  (  补  助  )</w:t>
            </w:r>
          </w:p>
        </w:tc>
        <w:tc>
          <w:tcPr>
            <w:tcW w:w="570" w:type="dxa"/>
            <w:gridSpan w:val="2"/>
            <w:vMerge w:val="restart"/>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财政专户管理资金（教育收费）</w:t>
            </w:r>
          </w:p>
        </w:tc>
        <w:tc>
          <w:tcPr>
            <w:tcW w:w="585" w:type="dxa"/>
            <w:gridSpan w:val="2"/>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事业收入</w:t>
            </w:r>
          </w:p>
        </w:tc>
        <w:tc>
          <w:tcPr>
            <w:tcW w:w="840"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事业单位经营收入</w:t>
            </w:r>
          </w:p>
        </w:tc>
        <w:tc>
          <w:tcPr>
            <w:tcW w:w="900" w:type="dxa"/>
            <w:gridSpan w:val="3"/>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其他收入</w:t>
            </w:r>
          </w:p>
        </w:tc>
        <w:tc>
          <w:tcPr>
            <w:tcW w:w="4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用事业基金弥补收支差额</w:t>
            </w:r>
          </w:p>
        </w:tc>
        <w:tc>
          <w:tcPr>
            <w:tcW w:w="61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单位上年结余（不包括国库集中支付额度结余）</w:t>
            </w:r>
          </w:p>
        </w:tc>
      </w:tr>
      <w:tr>
        <w:tblPrEx>
          <w:tblLayout w:type="fixed"/>
          <w:tblCellMar>
            <w:top w:w="0" w:type="dxa"/>
            <w:left w:w="0" w:type="dxa"/>
            <w:bottom w:w="0" w:type="dxa"/>
            <w:right w:w="0" w:type="dxa"/>
          </w:tblCellMar>
        </w:tblPrEx>
        <w:trPr>
          <w:trHeight w:val="1261" w:hRule="atLeast"/>
        </w:trPr>
        <w:tc>
          <w:tcPr>
            <w:tcW w:w="1500" w:type="dxa"/>
            <w:gridSpan w:val="2"/>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5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59"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76"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60"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财政拨款(补助)小计</w:t>
            </w:r>
          </w:p>
        </w:tc>
        <w:tc>
          <w:tcPr>
            <w:tcW w:w="960" w:type="dxa"/>
            <w:gridSpan w:val="3"/>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一般公共      预算</w:t>
            </w:r>
          </w:p>
        </w:tc>
        <w:tc>
          <w:tcPr>
            <w:tcW w:w="420" w:type="dxa"/>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政府性基金预算</w:t>
            </w:r>
          </w:p>
        </w:tc>
        <w:tc>
          <w:tcPr>
            <w:tcW w:w="420" w:type="dxa"/>
            <w:gridSpan w:val="2"/>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6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50"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065" w:type="dxa"/>
            <w:gridSpan w:val="2"/>
            <w:vMerge w:val="continue"/>
            <w:tcBorders>
              <w:top w:val="single" w:color="000000" w:sz="4" w:space="0"/>
              <w:left w:val="single" w:color="000000" w:sz="4" w:space="0"/>
              <w:bottom w:val="single" w:color="000000" w:sz="4" w:space="0"/>
              <w:right w:val="nil"/>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4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7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7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85"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财政拨款(补助)小计</w:t>
            </w:r>
          </w:p>
        </w:tc>
        <w:tc>
          <w:tcPr>
            <w:tcW w:w="885"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一般公共  预算</w:t>
            </w:r>
          </w:p>
        </w:tc>
        <w:tc>
          <w:tcPr>
            <w:tcW w:w="435"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政府性基金预算</w:t>
            </w:r>
          </w:p>
        </w:tc>
        <w:tc>
          <w:tcPr>
            <w:tcW w:w="570" w:type="dxa"/>
            <w:gridSpan w:val="2"/>
            <w:vMerge w:val="continue"/>
            <w:tcBorders>
              <w:top w:val="single" w:color="000000" w:sz="4" w:space="0"/>
              <w:left w:val="nil"/>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85" w:type="dxa"/>
            <w:gridSpan w:val="2"/>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840"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900" w:type="dxa"/>
            <w:gridSpan w:val="3"/>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1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Layout w:type="fixed"/>
          <w:tblCellMar>
            <w:top w:w="0" w:type="dxa"/>
            <w:left w:w="0" w:type="dxa"/>
            <w:bottom w:w="0" w:type="dxa"/>
            <w:right w:w="0" w:type="dxa"/>
          </w:tblCellMar>
        </w:tblPrEx>
        <w:trPr>
          <w:trHeight w:val="48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105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4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8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r>
      <w:tr>
        <w:tblPrEx>
          <w:tblLayout w:type="fixed"/>
          <w:tblCellMar>
            <w:top w:w="0" w:type="dxa"/>
            <w:left w:w="0" w:type="dxa"/>
            <w:bottom w:w="0" w:type="dxa"/>
            <w:right w:w="0" w:type="dxa"/>
          </w:tblCellMar>
        </w:tblPrEx>
        <w:trPr>
          <w:trHeight w:val="445"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3"/>
                <w:szCs w:val="13"/>
                <w:u w:val="none"/>
                <w:bdr w:val="none" w:color="auto" w:sz="0" w:space="0"/>
                <w:lang w:val="en-US" w:eastAsia="zh-CN" w:bidi="ar"/>
              </w:rPr>
              <w:t>新疆维吾尔自治区旅游发展委员会(汇总)</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合计</w:t>
            </w:r>
          </w:p>
        </w:tc>
        <w:tc>
          <w:tcPr>
            <w:tcW w:w="1059"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2367.66</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1745.66</w:t>
            </w:r>
          </w:p>
        </w:tc>
        <w:tc>
          <w:tcPr>
            <w:tcW w:w="96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1745.66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43.2</w:t>
            </w: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87</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491.8</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自治区文化和旅游厅</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合计</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35520.25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30371.17</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30371.27</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bCs/>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6</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791.2</w:t>
            </w:r>
          </w:p>
        </w:tc>
        <w:tc>
          <w:tcPr>
            <w:tcW w:w="8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1608.89</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2174.09</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77</w:t>
            </w: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8"/>
                <w:szCs w:val="18"/>
                <w:u w:val="none"/>
              </w:rPr>
            </w:pPr>
            <w:r>
              <w:rPr>
                <w:rFonts w:hint="eastAsia" w:ascii="宋体" w:hAnsi="宋体" w:eastAsia="宋体" w:cs="宋体"/>
                <w:b/>
                <w:bCs/>
                <w:i w:val="0"/>
                <w:color w:val="000000"/>
                <w:kern w:val="0"/>
                <w:sz w:val="18"/>
                <w:szCs w:val="18"/>
                <w:u w:val="none"/>
                <w:bdr w:val="none" w:color="auto" w:sz="0" w:space="0"/>
                <w:lang w:val="en-US" w:eastAsia="zh-CN" w:bidi="ar"/>
              </w:rPr>
              <w:t>491.8</w:t>
            </w:r>
          </w:p>
        </w:tc>
      </w:tr>
      <w:tr>
        <w:tblPrEx>
          <w:tblLayout w:type="fixed"/>
          <w:tblCellMar>
            <w:top w:w="0" w:type="dxa"/>
            <w:left w:w="0" w:type="dxa"/>
            <w:bottom w:w="0" w:type="dxa"/>
            <w:right w:w="0" w:type="dxa"/>
          </w:tblCellMar>
        </w:tblPrEx>
        <w:trPr>
          <w:trHeight w:val="352"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基本支出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1550.66</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1550.66</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1550.66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基本支出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22033.77</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21111.35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21111.35</w:t>
            </w:r>
          </w:p>
        </w:tc>
        <w:tc>
          <w:tcPr>
            <w:tcW w:w="43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364</w:t>
            </w:r>
          </w:p>
        </w:tc>
        <w:tc>
          <w:tcPr>
            <w:tcW w:w="84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202.37</w:t>
            </w:r>
          </w:p>
        </w:tc>
        <w:tc>
          <w:tcPr>
            <w:tcW w:w="90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356.05</w:t>
            </w:r>
          </w:p>
        </w:tc>
        <w:tc>
          <w:tcPr>
            <w:tcW w:w="48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35"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817</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43.2</w:t>
            </w: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87</w:t>
            </w: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491.8</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项目支出</w:t>
            </w: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13486.48</w:t>
            </w: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9259.92</w:t>
            </w: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9259.92</w:t>
            </w: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427.2</w:t>
            </w: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1406.52</w:t>
            </w: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1818.04</w:t>
            </w: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491.8</w:t>
            </w:r>
          </w:p>
        </w:tc>
      </w:tr>
      <w:tr>
        <w:tblPrEx>
          <w:tblLayout w:type="fixed"/>
          <w:tblCellMar>
            <w:top w:w="0" w:type="dxa"/>
            <w:left w:w="0" w:type="dxa"/>
            <w:bottom w:w="0" w:type="dxa"/>
            <w:right w:w="0" w:type="dxa"/>
          </w:tblCellMar>
        </w:tblPrEx>
        <w:trPr>
          <w:trHeight w:val="422" w:hRule="atLeast"/>
        </w:trPr>
        <w:tc>
          <w:tcPr>
            <w:tcW w:w="1500" w:type="dxa"/>
            <w:gridSpan w:val="2"/>
            <w:tcBorders>
              <w:top w:val="single" w:color="000000" w:sz="4" w:space="0"/>
              <w:left w:val="single" w:color="000000" w:sz="4" w:space="0"/>
              <w:bottom w:val="nil"/>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新疆维吾尔自治区旅游发展委员会</w:t>
            </w:r>
          </w:p>
        </w:tc>
        <w:tc>
          <w:tcPr>
            <w:tcW w:w="750"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基本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943.26</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943.26</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943.26</w:t>
            </w:r>
          </w:p>
        </w:tc>
        <w:tc>
          <w:tcPr>
            <w:tcW w:w="42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b w:val="0"/>
                <w:bCs/>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0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2070101行政运行</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796.35</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796.35</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796.35</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80" w:hRule="atLeast"/>
        </w:trPr>
        <w:tc>
          <w:tcPr>
            <w:tcW w:w="1500" w:type="dxa"/>
            <w:gridSpan w:val="2"/>
            <w:tcBorders>
              <w:top w:val="nil"/>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2080504未归口管理的行政单位离退休</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51.6</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51.6</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51.6</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8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2080505机关事业单位基本养老保险缴费支出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95.31</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95.31</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95.31</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0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87</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87</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87</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8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5"/>
                <w:szCs w:val="15"/>
                <w:u w:val="none"/>
                <w:bdr w:val="none" w:color="auto" w:sz="0" w:space="0"/>
                <w:lang w:val="en-US" w:eastAsia="zh-CN" w:bidi="ar"/>
              </w:rPr>
              <w:t>西洽会、厦洽会、中国国际商品博览会</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2070113旅游宣传</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bookmarkStart w:id="0" w:name="_GoBack"/>
            <w:bookmarkEnd w:id="0"/>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专项   业务费</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2070114旅游行业业务管理</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自治区旅游发展专项资金</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2070199其他文化和旅游支出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57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3"/>
                <w:szCs w:val="13"/>
                <w:u w:val="none"/>
                <w:bdr w:val="none" w:color="auto" w:sz="0" w:space="0"/>
                <w:lang w:val="en-US" w:eastAsia="zh-CN" w:bidi="ar"/>
              </w:rPr>
              <w:t>新疆维吾尔自治区旅游发展委员会机关服务中心</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基本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176.33</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176.33</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176.33</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2070103   机关服务</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149.49</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149.49</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149.49</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2080599其他行政事业单位离退休支出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2080505机关事业单位基本养老保险缴费支出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20.91</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20.91</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20.91</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145</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15</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15</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0.2</w:t>
            </w: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85</w:t>
            </w: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44.8</w:t>
            </w: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专项业务费</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2070103机关服务</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0.2</w:t>
            </w: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44.8</w:t>
            </w: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新疆维吾尔自治区旅游培训中心</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基本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160.4</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160.4</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160.4</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2070114旅游行业业务管理</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135.47</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135.47</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135.47</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2080599其他行政事业单位离退休支出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7.17</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7.17</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7.17</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bdr w:val="none" w:color="auto" w:sz="0" w:space="0"/>
                <w:lang w:val="en-US" w:eastAsia="zh-CN" w:bidi="ar"/>
              </w:rPr>
              <w:t>2080505机关事业单位基本养老保险缴费支出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17.76</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17.76</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17.76</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350</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93</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93</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43</w:t>
            </w: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b/>
                <w:i w:val="0"/>
                <w:color w:val="000000"/>
                <w:kern w:val="0"/>
                <w:sz w:val="18"/>
                <w:szCs w:val="18"/>
                <w:u w:val="none"/>
                <w:lang w:val="en-US" w:eastAsia="zh-CN" w:bidi="ar"/>
              </w:rPr>
              <w:t>212</w:t>
            </w: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培训业务成本支出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5"/>
                <w:szCs w:val="15"/>
                <w:u w:val="none"/>
                <w:bdr w:val="none" w:color="auto" w:sz="0" w:space="0"/>
                <w:lang w:val="en-US" w:eastAsia="zh-CN" w:bidi="ar"/>
              </w:rPr>
              <w:t>2070199其他文化和旅游支出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2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新疆维吾尔自治区旅游执法总队</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基本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206.41</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206.41</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206.41</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2070101行政运行</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181.54</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181.54</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181.54</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2080505机关事业单位基本养老保险缴费支出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24.87</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24.87</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24.87</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31"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新疆维吾尔自治区旅游宣传推广中心</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基本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64.26</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64.26</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64.26</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31"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2070113行政运行</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56.28</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56.28</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56.28</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9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2080505机关事业单位基本养老保险缴费支出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7.98</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7.98</w:t>
            </w: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7.98</w:t>
            </w: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   支出</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235</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b/>
                <w:bCs/>
                <w:i w:val="0"/>
                <w:color w:val="000000"/>
                <w:sz w:val="18"/>
                <w:szCs w:val="18"/>
                <w:u w:val="none"/>
                <w:lang w:val="en-US" w:eastAsia="zh-CN"/>
              </w:rPr>
              <w:t>235</w:t>
            </w: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760" w:hRule="atLeast"/>
        </w:trPr>
        <w:tc>
          <w:tcPr>
            <w:tcW w:w="15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bdr w:val="none" w:color="auto" w:sz="0" w:space="0"/>
                <w:lang w:val="en-US" w:eastAsia="zh-CN" w:bidi="ar"/>
              </w:rPr>
              <w:t>专项     业务费</w:t>
            </w:r>
          </w:p>
        </w:tc>
        <w:tc>
          <w:tcPr>
            <w:tcW w:w="1059"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bdr w:val="none" w:color="auto" w:sz="0" w:space="0"/>
                <w:lang w:val="en-US" w:eastAsia="zh-CN" w:bidi="ar"/>
              </w:rPr>
              <w:t>2070200其他文化和旅游支出</w:t>
            </w:r>
          </w:p>
        </w:tc>
        <w:tc>
          <w:tcPr>
            <w:tcW w:w="276"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9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w:t>
            </w:r>
          </w:p>
        </w:tc>
        <w:tc>
          <w:tcPr>
            <w:tcW w:w="96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6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2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5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235</w:t>
            </w:r>
          </w:p>
        </w:tc>
        <w:tc>
          <w:tcPr>
            <w:tcW w:w="106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37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3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7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8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84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900" w:type="dxa"/>
            <w:gridSpan w:val="3"/>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0"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615" w:type="dxa"/>
            <w:gridSpan w:val="2"/>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sectPr>
          <w:pgSz w:w="23757" w:h="16783" w:orient="landscape"/>
          <w:pgMar w:top="1800" w:right="1440" w:bottom="1800" w:left="1440" w:header="851" w:footer="992" w:gutter="0"/>
          <w:cols w:space="425" w:num="1"/>
          <w:docGrid w:type="lines" w:linePitch="312" w:charSpace="0"/>
        </w:sectPr>
      </w:pPr>
    </w:p>
    <w:tbl>
      <w:tblPr>
        <w:tblStyle w:val="5"/>
        <w:tblW w:w="14013" w:type="dxa"/>
        <w:tblInd w:w="0" w:type="dxa"/>
        <w:tblLayout w:type="fixed"/>
        <w:tblCellMar>
          <w:top w:w="15" w:type="dxa"/>
          <w:left w:w="15" w:type="dxa"/>
          <w:bottom w:w="15" w:type="dxa"/>
          <w:right w:w="15" w:type="dxa"/>
        </w:tblCellMar>
      </w:tblPr>
      <w:tblGrid>
        <w:gridCol w:w="1759"/>
        <w:gridCol w:w="1904"/>
        <w:gridCol w:w="192"/>
        <w:gridCol w:w="1132"/>
        <w:gridCol w:w="2763"/>
        <w:gridCol w:w="2139"/>
        <w:gridCol w:w="1560"/>
        <w:gridCol w:w="2564"/>
      </w:tblGrid>
      <w:tr>
        <w:tblPrEx>
          <w:tblLayout w:type="fixed"/>
          <w:tblCellMar>
            <w:top w:w="15" w:type="dxa"/>
            <w:left w:w="15" w:type="dxa"/>
            <w:bottom w:w="15" w:type="dxa"/>
            <w:right w:w="15" w:type="dxa"/>
          </w:tblCellMar>
        </w:tblPrEx>
        <w:trPr>
          <w:trHeight w:val="360" w:hRule="atLeast"/>
        </w:trPr>
        <w:tc>
          <w:tcPr>
            <w:tcW w:w="14013" w:type="dxa"/>
            <w:gridSpan w:val="8"/>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Layout w:type="fixed"/>
          <w:tblCellMar>
            <w:top w:w="15" w:type="dxa"/>
            <w:left w:w="15" w:type="dxa"/>
            <w:bottom w:w="15" w:type="dxa"/>
            <w:right w:w="15" w:type="dxa"/>
          </w:tblCellMar>
        </w:tblPrEx>
        <w:trPr>
          <w:trHeight w:val="452"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5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厅</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2014年度以前各类政府采购项目应付货款质保金</w:t>
            </w:r>
          </w:p>
        </w:tc>
      </w:tr>
      <w:tr>
        <w:tblPrEx>
          <w:tblLayout w:type="fixed"/>
          <w:tblCellMar>
            <w:top w:w="15" w:type="dxa"/>
            <w:left w:w="15" w:type="dxa"/>
            <w:bottom w:w="15" w:type="dxa"/>
            <w:right w:w="15" w:type="dxa"/>
          </w:tblCellMar>
        </w:tblPrEx>
        <w:trPr>
          <w:trHeight w:val="842"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200</w:t>
            </w:r>
          </w:p>
        </w:tc>
        <w:tc>
          <w:tcPr>
            <w:tcW w:w="2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Layout w:type="fixed"/>
          <w:tblCellMar>
            <w:top w:w="15" w:type="dxa"/>
            <w:left w:w="15" w:type="dxa"/>
            <w:bottom w:w="15" w:type="dxa"/>
            <w:right w:w="15" w:type="dxa"/>
          </w:tblCellMar>
        </w:tblPrEx>
        <w:trPr>
          <w:trHeight w:val="657"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2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val="en-US" w:eastAsia="zh-CN"/>
              </w:rPr>
              <w:t>当年拨款全额支付所欠项目款</w:t>
            </w:r>
          </w:p>
        </w:tc>
      </w:tr>
      <w:tr>
        <w:tblPrEx>
          <w:tblLayout w:type="fixed"/>
          <w:tblCellMar>
            <w:top w:w="15" w:type="dxa"/>
            <w:left w:w="15" w:type="dxa"/>
            <w:bottom w:w="15" w:type="dxa"/>
            <w:right w:w="15" w:type="dxa"/>
          </w:tblCellMar>
        </w:tblPrEx>
        <w:trPr>
          <w:trHeight w:val="465"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15" w:type="dxa"/>
            <w:left w:w="15" w:type="dxa"/>
            <w:bottom w:w="15" w:type="dxa"/>
            <w:right w:w="15" w:type="dxa"/>
          </w:tblCellMar>
        </w:tblPrEx>
        <w:trPr>
          <w:trHeight w:val="559" w:hRule="atLeast"/>
        </w:trPr>
        <w:tc>
          <w:tcPr>
            <w:tcW w:w="175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eastAsiaTheme="minorEastAsia"/>
                <w:color w:val="000000"/>
                <w:sz w:val="18"/>
                <w:szCs w:val="18"/>
                <w:lang w:eastAsia="zh-CN"/>
              </w:rPr>
            </w:pPr>
            <w:r>
              <w:rPr>
                <w:rFonts w:hint="eastAsia" w:ascii="宋体" w:hAnsi="宋体" w:cs="宋体"/>
                <w:color w:val="000000"/>
                <w:sz w:val="18"/>
                <w:szCs w:val="18"/>
                <w:lang w:eastAsia="zh-CN"/>
              </w:rPr>
              <w:t>产出指标</w:t>
            </w:r>
          </w:p>
        </w:tc>
        <w:tc>
          <w:tcPr>
            <w:tcW w:w="1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eastAsia="zh-CN"/>
              </w:rPr>
              <w:t>预计</w:t>
            </w:r>
            <w:r>
              <w:rPr>
                <w:rFonts w:hint="eastAsia" w:ascii="宋体" w:hAnsi="宋体" w:cs="宋体"/>
                <w:color w:val="000000"/>
                <w:sz w:val="18"/>
                <w:szCs w:val="18"/>
                <w:lang w:val="en-US" w:eastAsia="zh-CN"/>
              </w:rPr>
              <w:t>2018年10月之前完成</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r>
      <w:tr>
        <w:tblPrEx>
          <w:tblLayout w:type="fixed"/>
          <w:tblCellMar>
            <w:top w:w="15" w:type="dxa"/>
            <w:left w:w="15" w:type="dxa"/>
            <w:bottom w:w="15" w:type="dxa"/>
            <w:right w:w="15" w:type="dxa"/>
          </w:tblCellMar>
        </w:tblPrEx>
        <w:trPr>
          <w:trHeight w:val="702"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按当年拨款数支付合同款</w:t>
            </w:r>
            <w:r>
              <w:rPr>
                <w:rFonts w:hint="eastAsia" w:ascii="宋体" w:hAnsi="宋体" w:cs="宋体"/>
                <w:color w:val="000000"/>
                <w:kern w:val="0"/>
                <w:sz w:val="18"/>
                <w:szCs w:val="18"/>
                <w:lang w:val="en-US" w:eastAsia="zh-CN"/>
              </w:rPr>
              <w:t xml:space="preserve"> </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r>
      <w:tr>
        <w:tblPrEx>
          <w:tblLayout w:type="fixed"/>
          <w:tblCellMar>
            <w:top w:w="15" w:type="dxa"/>
            <w:left w:w="15" w:type="dxa"/>
            <w:bottom w:w="15" w:type="dxa"/>
            <w:right w:w="15" w:type="dxa"/>
          </w:tblCellMar>
        </w:tblPrEx>
        <w:trPr>
          <w:trHeight w:val="801"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生效</w:t>
            </w:r>
            <w:r>
              <w:rPr>
                <w:rFonts w:hint="eastAsia" w:ascii="宋体" w:hAnsi="宋体" w:cs="宋体"/>
                <w:color w:val="000000"/>
                <w:kern w:val="0"/>
                <w:sz w:val="18"/>
                <w:szCs w:val="18"/>
              </w:rPr>
              <w:t>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付款进度</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321" w:hRule="atLeast"/>
        </w:trPr>
        <w:tc>
          <w:tcPr>
            <w:tcW w:w="17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社会舆论</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281"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企业满意度</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lang w:val="en-US"/>
              </w:rPr>
            </w:pPr>
            <w:r>
              <w:rPr>
                <w:rFonts w:hint="default" w:ascii="宋体" w:hAnsi="宋体" w:cs="宋体"/>
                <w:color w:val="000000"/>
                <w:kern w:val="0"/>
                <w:sz w:val="18"/>
                <w:szCs w:val="18"/>
                <w:lang w:val="en-US"/>
              </w:rPr>
              <w:t>≥90%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sectPr>
          <w:pgSz w:w="16838" w:h="11906" w:orient="landscape"/>
          <w:pgMar w:top="1800" w:right="1440" w:bottom="1800" w:left="1440" w:header="851" w:footer="992" w:gutter="0"/>
          <w:cols w:space="425" w:num="1"/>
          <w:docGrid w:type="lines" w:linePitch="312" w:charSpace="0"/>
        </w:sectPr>
      </w:pPr>
    </w:p>
    <w:tbl>
      <w:tblPr>
        <w:tblStyle w:val="5"/>
        <w:tblW w:w="14013" w:type="dxa"/>
        <w:tblInd w:w="0" w:type="dxa"/>
        <w:tblLayout w:type="fixed"/>
        <w:tblCellMar>
          <w:top w:w="15" w:type="dxa"/>
          <w:left w:w="15" w:type="dxa"/>
          <w:bottom w:w="15" w:type="dxa"/>
          <w:right w:w="15" w:type="dxa"/>
        </w:tblCellMar>
      </w:tblPr>
      <w:tblGrid>
        <w:gridCol w:w="1759"/>
        <w:gridCol w:w="1904"/>
        <w:gridCol w:w="192"/>
        <w:gridCol w:w="1132"/>
        <w:gridCol w:w="2763"/>
        <w:gridCol w:w="2139"/>
        <w:gridCol w:w="1560"/>
        <w:gridCol w:w="2564"/>
      </w:tblGrid>
      <w:tr>
        <w:tblPrEx>
          <w:tblLayout w:type="fixed"/>
          <w:tblCellMar>
            <w:top w:w="15" w:type="dxa"/>
            <w:left w:w="15" w:type="dxa"/>
            <w:bottom w:w="15" w:type="dxa"/>
            <w:right w:w="15" w:type="dxa"/>
          </w:tblCellMar>
        </w:tblPrEx>
        <w:trPr>
          <w:trHeight w:val="360" w:hRule="atLeast"/>
        </w:trPr>
        <w:tc>
          <w:tcPr>
            <w:tcW w:w="14013" w:type="dxa"/>
            <w:gridSpan w:val="8"/>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支  出  绩  效  目  标  表</w:t>
            </w:r>
          </w:p>
        </w:tc>
      </w:tr>
      <w:tr>
        <w:tblPrEx>
          <w:tblLayout w:type="fixed"/>
          <w:tblCellMar>
            <w:top w:w="15" w:type="dxa"/>
            <w:left w:w="15" w:type="dxa"/>
            <w:bottom w:w="15" w:type="dxa"/>
            <w:right w:w="15" w:type="dxa"/>
          </w:tblCellMar>
        </w:tblPrEx>
        <w:trPr>
          <w:trHeight w:val="452"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59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厅</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2014年度以前各类政府采购项目应付货款质保金</w:t>
            </w:r>
          </w:p>
        </w:tc>
      </w:tr>
      <w:tr>
        <w:tblPrEx>
          <w:tblLayout w:type="fixed"/>
          <w:tblCellMar>
            <w:top w:w="15" w:type="dxa"/>
            <w:left w:w="15" w:type="dxa"/>
            <w:bottom w:w="15" w:type="dxa"/>
            <w:right w:w="15" w:type="dxa"/>
          </w:tblCellMar>
        </w:tblPrEx>
        <w:trPr>
          <w:trHeight w:val="842"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200</w:t>
            </w:r>
          </w:p>
        </w:tc>
        <w:tc>
          <w:tcPr>
            <w:tcW w:w="2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200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5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Layout w:type="fixed"/>
          <w:tblCellMar>
            <w:top w:w="15" w:type="dxa"/>
            <w:left w:w="15" w:type="dxa"/>
            <w:bottom w:w="15" w:type="dxa"/>
            <w:right w:w="15" w:type="dxa"/>
          </w:tblCellMar>
        </w:tblPrEx>
        <w:trPr>
          <w:trHeight w:val="657"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25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val="en-US" w:eastAsia="zh-CN"/>
              </w:rPr>
              <w:t>当年拨款全额支付所欠项目款</w:t>
            </w:r>
          </w:p>
        </w:tc>
      </w:tr>
      <w:tr>
        <w:tblPrEx>
          <w:tblLayout w:type="fixed"/>
          <w:tblCellMar>
            <w:top w:w="15" w:type="dxa"/>
            <w:left w:w="15" w:type="dxa"/>
            <w:bottom w:w="15" w:type="dxa"/>
            <w:right w:w="15" w:type="dxa"/>
          </w:tblCellMar>
        </w:tblPrEx>
        <w:trPr>
          <w:trHeight w:val="465"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15" w:type="dxa"/>
            <w:left w:w="15" w:type="dxa"/>
            <w:bottom w:w="15" w:type="dxa"/>
            <w:right w:w="15" w:type="dxa"/>
          </w:tblCellMar>
        </w:tblPrEx>
        <w:trPr>
          <w:trHeight w:val="559" w:hRule="atLeast"/>
        </w:trPr>
        <w:tc>
          <w:tcPr>
            <w:tcW w:w="1759"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cs="宋体" w:eastAsiaTheme="minorEastAsia"/>
                <w:color w:val="000000"/>
                <w:sz w:val="18"/>
                <w:szCs w:val="18"/>
                <w:lang w:eastAsia="zh-CN"/>
              </w:rPr>
            </w:pPr>
            <w:r>
              <w:rPr>
                <w:rFonts w:hint="eastAsia" w:ascii="宋体" w:hAnsi="宋体" w:cs="宋体"/>
                <w:color w:val="000000"/>
                <w:sz w:val="18"/>
                <w:szCs w:val="18"/>
                <w:lang w:eastAsia="zh-CN"/>
              </w:rPr>
              <w:t>产出指标</w:t>
            </w:r>
          </w:p>
        </w:tc>
        <w:tc>
          <w:tcPr>
            <w:tcW w:w="1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eastAsia="zh-CN"/>
              </w:rPr>
              <w:t>预计</w:t>
            </w:r>
            <w:r>
              <w:rPr>
                <w:rFonts w:hint="eastAsia" w:ascii="宋体" w:hAnsi="宋体" w:cs="宋体"/>
                <w:color w:val="000000"/>
                <w:sz w:val="18"/>
                <w:szCs w:val="18"/>
                <w:lang w:val="en-US" w:eastAsia="zh-CN"/>
              </w:rPr>
              <w:t>2018年10月之前完成</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r>
      <w:tr>
        <w:tblPrEx>
          <w:tblLayout w:type="fixed"/>
          <w:tblCellMar>
            <w:top w:w="15" w:type="dxa"/>
            <w:left w:w="15" w:type="dxa"/>
            <w:bottom w:w="15" w:type="dxa"/>
            <w:right w:w="15" w:type="dxa"/>
          </w:tblCellMar>
        </w:tblPrEx>
        <w:trPr>
          <w:trHeight w:val="702"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按当年拨款数支付合同款</w:t>
            </w:r>
            <w:r>
              <w:rPr>
                <w:rFonts w:hint="eastAsia" w:ascii="宋体" w:hAnsi="宋体" w:cs="宋体"/>
                <w:color w:val="000000"/>
                <w:kern w:val="0"/>
                <w:sz w:val="18"/>
                <w:szCs w:val="18"/>
                <w:lang w:val="en-US" w:eastAsia="zh-CN"/>
              </w:rPr>
              <w:t xml:space="preserve"> </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100</w:t>
            </w:r>
            <w:r>
              <w:rPr>
                <w:rFonts w:hint="eastAsia" w:ascii="宋体" w:hAnsi="宋体" w:cs="宋体"/>
                <w:color w:val="000000"/>
                <w:kern w:val="0"/>
                <w:sz w:val="18"/>
                <w:szCs w:val="18"/>
              </w:rPr>
              <w:t>%</w:t>
            </w:r>
          </w:p>
        </w:tc>
      </w:tr>
      <w:tr>
        <w:tblPrEx>
          <w:tblLayout w:type="fixed"/>
          <w:tblCellMar>
            <w:top w:w="15" w:type="dxa"/>
            <w:left w:w="15" w:type="dxa"/>
            <w:bottom w:w="15" w:type="dxa"/>
            <w:right w:w="15" w:type="dxa"/>
          </w:tblCellMar>
        </w:tblPrEx>
        <w:trPr>
          <w:trHeight w:val="801" w:hRule="atLeast"/>
        </w:trPr>
        <w:tc>
          <w:tcPr>
            <w:tcW w:w="17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eastAsia="zh-CN"/>
              </w:rPr>
              <w:t>生效</w:t>
            </w:r>
            <w:r>
              <w:rPr>
                <w:rFonts w:hint="eastAsia" w:ascii="宋体" w:hAnsi="宋体" w:cs="宋体"/>
                <w:color w:val="000000"/>
                <w:kern w:val="0"/>
                <w:sz w:val="18"/>
                <w:szCs w:val="18"/>
              </w:rPr>
              <w:t>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付款进度</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321" w:hRule="atLeast"/>
        </w:trPr>
        <w:tc>
          <w:tcPr>
            <w:tcW w:w="175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效益指标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社会舆论</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281"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22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cs="宋体" w:eastAsiaTheme="minorEastAsia"/>
                <w:color w:val="000000"/>
                <w:sz w:val="18"/>
                <w:szCs w:val="18"/>
                <w:lang w:eastAsia="zh-CN"/>
              </w:rPr>
            </w:pPr>
            <w:r>
              <w:rPr>
                <w:rFonts w:hint="eastAsia" w:ascii="宋体" w:hAnsi="宋体" w:cs="宋体"/>
                <w:color w:val="000000"/>
                <w:kern w:val="0"/>
                <w:sz w:val="18"/>
                <w:szCs w:val="18"/>
                <w:lang w:eastAsia="zh-CN"/>
              </w:rPr>
              <w:t>企业满意度</w:t>
            </w:r>
          </w:p>
        </w:tc>
        <w:tc>
          <w:tcPr>
            <w:tcW w:w="41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cs="宋体"/>
                <w:color w:val="000000"/>
                <w:sz w:val="18"/>
                <w:szCs w:val="18"/>
                <w:lang w:val="en-US"/>
              </w:rPr>
            </w:pPr>
            <w:r>
              <w:rPr>
                <w:rFonts w:hint="default" w:ascii="宋体" w:hAnsi="宋体" w:cs="宋体"/>
                <w:color w:val="000000"/>
                <w:kern w:val="0"/>
                <w:sz w:val="18"/>
                <w:szCs w:val="18"/>
                <w:lang w:val="en-US"/>
              </w:rPr>
              <w:t>≥90%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sectPr>
          <w:pgSz w:w="16838" w:h="11906" w:orient="landscape"/>
          <w:pgMar w:top="1800" w:right="1440" w:bottom="1800" w:left="1440" w:header="851" w:footer="992" w:gutter="0"/>
          <w:cols w:space="425" w:num="1"/>
          <w:docGrid w:type="lines" w:linePitch="312" w:charSpace="0"/>
        </w:sectPr>
      </w:pPr>
    </w:p>
    <w:tbl>
      <w:tblPr>
        <w:tblStyle w:val="5"/>
        <w:tblW w:w="14193" w:type="dxa"/>
        <w:tblInd w:w="0" w:type="dxa"/>
        <w:tblLayout w:type="fixed"/>
        <w:tblCellMar>
          <w:top w:w="15" w:type="dxa"/>
          <w:left w:w="15" w:type="dxa"/>
          <w:bottom w:w="15" w:type="dxa"/>
          <w:right w:w="15" w:type="dxa"/>
        </w:tblCellMar>
      </w:tblPr>
      <w:tblGrid>
        <w:gridCol w:w="1558"/>
        <w:gridCol w:w="20"/>
        <w:gridCol w:w="1870"/>
        <w:gridCol w:w="410"/>
        <w:gridCol w:w="690"/>
        <w:gridCol w:w="439"/>
        <w:gridCol w:w="1661"/>
        <w:gridCol w:w="1103"/>
        <w:gridCol w:w="1132"/>
        <w:gridCol w:w="1060"/>
        <w:gridCol w:w="770"/>
        <w:gridCol w:w="660"/>
        <w:gridCol w:w="145"/>
        <w:gridCol w:w="686"/>
        <w:gridCol w:w="1989"/>
      </w:tblGrid>
      <w:tr>
        <w:tblPrEx>
          <w:tblLayout w:type="fixed"/>
          <w:tblCellMar>
            <w:top w:w="15" w:type="dxa"/>
            <w:left w:w="15" w:type="dxa"/>
            <w:bottom w:w="15" w:type="dxa"/>
            <w:right w:w="15" w:type="dxa"/>
          </w:tblCellMar>
        </w:tblPrEx>
        <w:trPr>
          <w:trHeight w:val="360" w:hRule="atLeast"/>
        </w:trPr>
        <w:tc>
          <w:tcPr>
            <w:tcW w:w="14193" w:type="dxa"/>
            <w:gridSpan w:val="15"/>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Layout w:type="fixed"/>
          <w:tblCellMar>
            <w:top w:w="15" w:type="dxa"/>
            <w:left w:w="15" w:type="dxa"/>
            <w:bottom w:w="15" w:type="dxa"/>
            <w:right w:w="15" w:type="dxa"/>
          </w:tblCellMar>
        </w:tblPrEx>
        <w:trPr>
          <w:trHeight w:val="215"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61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和旅游</w:t>
            </w:r>
            <w:r>
              <w:rPr>
                <w:rFonts w:hint="eastAsia" w:ascii="宋体" w:hAnsi="宋体" w:cs="宋体"/>
                <w:color w:val="000000"/>
                <w:kern w:val="0"/>
                <w:sz w:val="18"/>
                <w:szCs w:val="18"/>
              </w:rPr>
              <w:t>厅</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新疆美术馆馆藏品收购专项经费</w:t>
            </w:r>
          </w:p>
        </w:tc>
      </w:tr>
      <w:tr>
        <w:tblPrEx>
          <w:tblLayout w:type="fixed"/>
          <w:tblCellMar>
            <w:top w:w="15" w:type="dxa"/>
            <w:left w:w="15" w:type="dxa"/>
            <w:bottom w:w="15" w:type="dxa"/>
            <w:right w:w="15" w:type="dxa"/>
          </w:tblCellMar>
        </w:tblPrEx>
        <w:trPr>
          <w:trHeight w:val="395"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3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27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200</w:t>
            </w:r>
          </w:p>
        </w:tc>
        <w:tc>
          <w:tcPr>
            <w:tcW w:w="15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Layout w:type="fixed"/>
          <w:tblCellMar>
            <w:top w:w="15" w:type="dxa"/>
            <w:left w:w="15" w:type="dxa"/>
            <w:bottom w:w="15" w:type="dxa"/>
            <w:right w:w="15" w:type="dxa"/>
          </w:tblCellMar>
        </w:tblPrEx>
        <w:trPr>
          <w:trHeight w:val="560"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635" w:type="dxa"/>
            <w:gridSpan w:val="14"/>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按照新疆美术馆整体发展战略，开展藏品征集工作，在展示新中国成立以来新疆美术事业发展面貌的同时，以推动中国现当代艺术的国际化发展为主要目标，建构中国现当代美术史的新疆艺术作品收藏体系，完善新疆的艺术研究机制建立中国连接亚欧艺术的学术中心，进一步推动新疆美术事业的发展。</w:t>
            </w:r>
          </w:p>
        </w:tc>
      </w:tr>
      <w:tr>
        <w:tblPrEx>
          <w:tblLayout w:type="fixed"/>
          <w:tblCellMar>
            <w:top w:w="15" w:type="dxa"/>
            <w:left w:w="15" w:type="dxa"/>
            <w:bottom w:w="15" w:type="dxa"/>
            <w:right w:w="15" w:type="dxa"/>
          </w:tblCellMar>
        </w:tblPrEx>
        <w:trPr>
          <w:trHeight w:val="435"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15" w:type="dxa"/>
            <w:left w:w="15" w:type="dxa"/>
            <w:bottom w:w="15" w:type="dxa"/>
            <w:right w:w="15" w:type="dxa"/>
          </w:tblCellMar>
        </w:tblPrEx>
        <w:trPr>
          <w:trHeight w:val="275" w:hRule="atLeast"/>
        </w:trPr>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藏品包装费用&lt;1%</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3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藏品评审费用&lt;0.5%</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3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藏品运输费用&lt;5%</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3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藏品装裱修复费用&lt;6%</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0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美术作品捐赠补偿费用</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70%</w:t>
            </w:r>
          </w:p>
        </w:tc>
      </w:tr>
      <w:tr>
        <w:tblPrEx>
          <w:tblLayout w:type="fixed"/>
          <w:tblCellMar>
            <w:top w:w="15" w:type="dxa"/>
            <w:left w:w="15" w:type="dxa"/>
            <w:bottom w:w="15" w:type="dxa"/>
            <w:right w:w="15" w:type="dxa"/>
          </w:tblCellMar>
        </w:tblPrEx>
        <w:trPr>
          <w:trHeight w:val="26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日常办公、建档及业务培训费用&lt;2%</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45"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新疆现当代美术史文献研究及美术馆收藏（作品捐赠）陈列项目阶段经费&lt;8%</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3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征集藏品食宿差旅费用&lt;3.5%</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6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全年</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2019年12月</w:t>
            </w:r>
          </w:p>
        </w:tc>
      </w:tr>
      <w:tr>
        <w:tblPrEx>
          <w:tblLayout w:type="fixed"/>
          <w:tblCellMar>
            <w:top w:w="15" w:type="dxa"/>
            <w:left w:w="15" w:type="dxa"/>
            <w:bottom w:w="15" w:type="dxa"/>
            <w:right w:w="15" w:type="dxa"/>
          </w:tblCellMar>
        </w:tblPrEx>
        <w:trPr>
          <w:trHeight w:val="320"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藏品维护数量占比1%</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45"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藏品修复数量占比3%</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&gt;90%</w:t>
            </w:r>
          </w:p>
        </w:tc>
      </w:tr>
      <w:tr>
        <w:tblPrEx>
          <w:tblLayout w:type="fixed"/>
          <w:tblCellMar>
            <w:top w:w="15" w:type="dxa"/>
            <w:left w:w="15" w:type="dxa"/>
            <w:bottom w:w="15" w:type="dxa"/>
            <w:right w:w="15" w:type="dxa"/>
          </w:tblCellMar>
        </w:tblPrEx>
        <w:trPr>
          <w:trHeight w:val="245"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收藏美术作品</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画家代表作品（获奖作品）≥2个</w:t>
            </w:r>
          </w:p>
        </w:tc>
      </w:tr>
      <w:tr>
        <w:tblPrEx>
          <w:tblLayout w:type="fixed"/>
          <w:tblCellMar>
            <w:top w:w="15" w:type="dxa"/>
            <w:left w:w="15" w:type="dxa"/>
            <w:bottom w:w="15" w:type="dxa"/>
            <w:right w:w="15" w:type="dxa"/>
          </w:tblCellMar>
        </w:tblPrEx>
        <w:trPr>
          <w:trHeight w:val="449" w:hRule="atLeast"/>
        </w:trPr>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项目效益指标</w:t>
            </w:r>
          </w:p>
        </w:tc>
        <w:tc>
          <w:tcPr>
            <w:tcW w:w="18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美术馆收藏美术作品数量</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逐年增加</w:t>
            </w:r>
          </w:p>
        </w:tc>
      </w:tr>
      <w:tr>
        <w:tblPrEx>
          <w:tblLayout w:type="fixed"/>
          <w:tblCellMar>
            <w:top w:w="15" w:type="dxa"/>
            <w:left w:w="15" w:type="dxa"/>
            <w:bottom w:w="15" w:type="dxa"/>
            <w:right w:w="15" w:type="dxa"/>
          </w:tblCellMar>
        </w:tblPrEx>
        <w:trPr>
          <w:trHeight w:val="365" w:hRule="atLeast"/>
        </w:trPr>
        <w:tc>
          <w:tcPr>
            <w:tcW w:w="15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9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社会公众满意度</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375" w:hRule="atLeast"/>
        </w:trPr>
        <w:tc>
          <w:tcPr>
            <w:tcW w:w="15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9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专家评审满意度</w:t>
            </w:r>
          </w:p>
        </w:tc>
        <w:tc>
          <w:tcPr>
            <w:tcW w:w="42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≥95%</w:t>
            </w:r>
          </w:p>
        </w:tc>
      </w:tr>
      <w:tr>
        <w:tblPrEx>
          <w:tblLayout w:type="fixed"/>
          <w:tblCellMar>
            <w:top w:w="15" w:type="dxa"/>
            <w:left w:w="15" w:type="dxa"/>
            <w:bottom w:w="15" w:type="dxa"/>
            <w:right w:w="15" w:type="dxa"/>
          </w:tblCellMar>
        </w:tblPrEx>
        <w:trPr>
          <w:trHeight w:val="90" w:hRule="atLeast"/>
        </w:trPr>
        <w:tc>
          <w:tcPr>
            <w:tcW w:w="14193" w:type="dxa"/>
            <w:gridSpan w:val="15"/>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Layout w:type="fixed"/>
          <w:tblCellMar>
            <w:top w:w="15" w:type="dxa"/>
            <w:left w:w="15" w:type="dxa"/>
            <w:bottom w:w="15" w:type="dxa"/>
            <w:right w:w="15" w:type="dxa"/>
          </w:tblCellMar>
        </w:tblPrEx>
        <w:trPr>
          <w:trHeight w:val="265" w:hRule="atLeast"/>
        </w:trPr>
        <w:tc>
          <w:tcPr>
            <w:tcW w:w="1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和旅游</w:t>
            </w:r>
            <w:r>
              <w:rPr>
                <w:rFonts w:hint="eastAsia" w:ascii="宋体" w:hAnsi="宋体" w:cs="宋体"/>
                <w:color w:val="000000"/>
                <w:kern w:val="0"/>
                <w:sz w:val="18"/>
                <w:szCs w:val="18"/>
              </w:rPr>
              <w:t>厅</w:t>
            </w:r>
          </w:p>
        </w:tc>
        <w:tc>
          <w:tcPr>
            <w:tcW w:w="61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348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自治区非物质文化遗产保护经费</w:t>
            </w:r>
          </w:p>
        </w:tc>
      </w:tr>
      <w:tr>
        <w:tblPrEx>
          <w:tblLayout w:type="fixed"/>
          <w:tblCellMar>
            <w:top w:w="15" w:type="dxa"/>
            <w:left w:w="15" w:type="dxa"/>
            <w:bottom w:w="15" w:type="dxa"/>
            <w:right w:w="15" w:type="dxa"/>
          </w:tblCellMar>
        </w:tblPrEx>
        <w:trPr>
          <w:trHeight w:val="242" w:hRule="atLeast"/>
        </w:trPr>
        <w:tc>
          <w:tcPr>
            <w:tcW w:w="1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2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600</w:t>
            </w:r>
          </w:p>
        </w:tc>
        <w:tc>
          <w:tcPr>
            <w:tcW w:w="149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19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Layout w:type="fixed"/>
          <w:tblCellMar>
            <w:top w:w="15" w:type="dxa"/>
            <w:left w:w="15" w:type="dxa"/>
            <w:bottom w:w="15" w:type="dxa"/>
            <w:right w:w="15" w:type="dxa"/>
          </w:tblCellMar>
        </w:tblPrEx>
        <w:trPr>
          <w:trHeight w:val="292" w:hRule="atLeast"/>
        </w:trPr>
        <w:tc>
          <w:tcPr>
            <w:tcW w:w="1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615" w:type="dxa"/>
            <w:gridSpan w:val="13"/>
            <w:tcBorders>
              <w:top w:val="single" w:color="000000" w:sz="4" w:space="0"/>
              <w:left w:val="single" w:color="000000" w:sz="4" w:space="0"/>
              <w:bottom w:val="single" w:color="000000" w:sz="4" w:space="0"/>
              <w:right w:val="single" w:color="000000" w:sz="4" w:space="0"/>
            </w:tcBorders>
            <w:shd w:val="clear" w:color="auto" w:fill="auto"/>
          </w:tcPr>
          <w:p>
            <w:pPr>
              <w:spacing w:line="160" w:lineRule="exact"/>
              <w:rPr>
                <w:rFonts w:ascii="宋体" w:hAnsi="宋体" w:cs="宋体"/>
                <w:color w:val="000000"/>
                <w:sz w:val="18"/>
                <w:szCs w:val="18"/>
              </w:rPr>
            </w:pPr>
            <w:r>
              <w:rPr>
                <w:rFonts w:hint="eastAsia" w:ascii="宋体" w:hAnsi="宋体" w:cs="宋体"/>
                <w:color w:val="000000"/>
                <w:kern w:val="0"/>
                <w:sz w:val="13"/>
                <w:szCs w:val="13"/>
              </w:rPr>
              <w:t>对部分自治区级非遗代表性项目（特别是2018年新公布的自治区级非遗代表性项目、第一批自治区传统工艺振兴目录项目）、已公布的自治区级非遗代表性传承人传习活动、部分自治区级非遗保护传承基地和文化生态保护试验区、举办文化和自然遗产日暨新疆非遗展示周、天山南北贺新春——新疆非遗春节习俗展主场活动、出版《新疆非遗名录图典（二）》等年度计划任务进行补助，推动非遗抢救保护。</w:t>
            </w:r>
          </w:p>
        </w:tc>
      </w:tr>
      <w:tr>
        <w:tblPrEx>
          <w:tblLayout w:type="fixed"/>
          <w:tblCellMar>
            <w:top w:w="15" w:type="dxa"/>
            <w:left w:w="15" w:type="dxa"/>
            <w:bottom w:w="15" w:type="dxa"/>
            <w:right w:w="15" w:type="dxa"/>
          </w:tblCellMar>
        </w:tblPrEx>
        <w:trPr>
          <w:trHeight w:val="227" w:hRule="atLeast"/>
        </w:trPr>
        <w:tc>
          <w:tcPr>
            <w:tcW w:w="1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29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15" w:type="dxa"/>
            <w:left w:w="15" w:type="dxa"/>
            <w:bottom w:w="15" w:type="dxa"/>
            <w:right w:w="15" w:type="dxa"/>
          </w:tblCellMar>
        </w:tblPrEx>
        <w:trPr>
          <w:trHeight w:val="227" w:hRule="atLeast"/>
        </w:trPr>
        <w:tc>
          <w:tcPr>
            <w:tcW w:w="15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自治区本级非遗宣传展示主场活动及出版补助金额45.44万元</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82"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自治区级非遗保护传承基地和文化生态保护试验区补助金额≧10万元/个，共80万元</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52"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自治区级非遗代表性传承人补助金额≧0.48万元/人，共154.56万元</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自治区级非遗代表性项目传承展示补助金额≧10万元/项，共320万元</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1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自治区本级非遗宣传展示主场活动及出版完成时间2019年12月前</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自治区级非遗保护传承基地和文化生态保护试验区任务完成时间2019年12月前</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自治区级非遗代表性传承人补助发放时间2019年12月前</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自治区级非遗代表性项目传承展示完成时间2019年12月前</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242"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补助自治区本级非遗宣传展示主场活动及出版</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活动≥2场，出版≥1本</w:t>
            </w:r>
          </w:p>
        </w:tc>
      </w:tr>
      <w:tr>
        <w:tblPrEx>
          <w:tblLayout w:type="fixed"/>
          <w:tblCellMar>
            <w:top w:w="15" w:type="dxa"/>
            <w:left w:w="15" w:type="dxa"/>
            <w:bottom w:w="15" w:type="dxa"/>
            <w:right w:w="15" w:type="dxa"/>
          </w:tblCellMar>
        </w:tblPrEx>
        <w:trPr>
          <w:trHeight w:val="182"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补助自治区级非遗保护传承基地和文化生态保护试验区</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8个</w:t>
            </w:r>
          </w:p>
        </w:tc>
      </w:tr>
      <w:tr>
        <w:tblPrEx>
          <w:tblLayout w:type="fixed"/>
          <w:tblCellMar>
            <w:top w:w="15" w:type="dxa"/>
            <w:left w:w="15" w:type="dxa"/>
            <w:bottom w:w="15" w:type="dxa"/>
            <w:right w:w="15" w:type="dxa"/>
          </w:tblCellMar>
        </w:tblPrEx>
        <w:trPr>
          <w:trHeight w:val="197"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补助自治区级非遗代表性传承人</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322人</w:t>
            </w:r>
          </w:p>
        </w:tc>
      </w:tr>
      <w:tr>
        <w:tblPrEx>
          <w:tblLayout w:type="fixed"/>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补助自治区级非遗代表性项目（含传统工艺振兴）传承展示</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32项</w:t>
            </w:r>
          </w:p>
        </w:tc>
      </w:tr>
      <w:tr>
        <w:tblPrEx>
          <w:tblLayout w:type="fixed"/>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自治区本级非遗宣传展示主场活动及出版完成率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90"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自治区级非遗保护传承基地和文化生态保护试验区任务完成率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07"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自治区级非遗代表性传承人补助发放到位率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07"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自治区级非遗代表性项目传承展示任务完成率</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82" w:hRule="atLeast"/>
        </w:trPr>
        <w:tc>
          <w:tcPr>
            <w:tcW w:w="157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297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非遗保护与传承活动受益公众满意度</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158" w:hRule="atLeast"/>
        </w:trPr>
        <w:tc>
          <w:tcPr>
            <w:tcW w:w="157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97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82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非遗代表性传承人满意度</w:t>
            </w:r>
          </w:p>
        </w:tc>
        <w:tc>
          <w:tcPr>
            <w:tcW w:w="282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bl>
    <w:p>
      <w:pPr>
        <w:spacing w:line="500" w:lineRule="exact"/>
        <w:rPr>
          <w:rFonts w:ascii="仿宋_GB2312" w:hAnsi="宋体" w:eastAsia="仿宋_GB2312" w:cs="宋体"/>
          <w:kern w:val="0"/>
          <w:sz w:val="32"/>
          <w:szCs w:val="32"/>
        </w:rPr>
        <w:sectPr>
          <w:pgSz w:w="16838" w:h="11906" w:orient="landscape"/>
          <w:pgMar w:top="1800" w:right="1440" w:bottom="1531" w:left="1440" w:header="851" w:footer="992" w:gutter="0"/>
          <w:cols w:space="425" w:num="1"/>
          <w:docGrid w:type="lines" w:linePitch="312" w:charSpace="0"/>
        </w:sectPr>
      </w:pPr>
    </w:p>
    <w:tbl>
      <w:tblPr>
        <w:tblStyle w:val="5"/>
        <w:tblW w:w="14073" w:type="dxa"/>
        <w:tblInd w:w="0" w:type="dxa"/>
        <w:tblLayout w:type="fixed"/>
        <w:tblCellMar>
          <w:top w:w="15" w:type="dxa"/>
          <w:left w:w="15" w:type="dxa"/>
          <w:bottom w:w="15" w:type="dxa"/>
          <w:right w:w="15" w:type="dxa"/>
        </w:tblCellMar>
      </w:tblPr>
      <w:tblGrid>
        <w:gridCol w:w="1593"/>
        <w:gridCol w:w="1800"/>
        <w:gridCol w:w="465"/>
        <w:gridCol w:w="1129"/>
        <w:gridCol w:w="2764"/>
        <w:gridCol w:w="2182"/>
        <w:gridCol w:w="1440"/>
        <w:gridCol w:w="2700"/>
      </w:tblGrid>
      <w:tr>
        <w:tblPrEx>
          <w:tblLayout w:type="fixed"/>
          <w:tblCellMar>
            <w:top w:w="15" w:type="dxa"/>
            <w:left w:w="15" w:type="dxa"/>
            <w:bottom w:w="15" w:type="dxa"/>
            <w:right w:w="15" w:type="dxa"/>
          </w:tblCellMar>
        </w:tblPrEx>
        <w:trPr>
          <w:trHeight w:val="360" w:hRule="atLeast"/>
        </w:trPr>
        <w:tc>
          <w:tcPr>
            <w:tcW w:w="14073" w:type="dxa"/>
            <w:gridSpan w:val="8"/>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Layout w:type="fixed"/>
          <w:tblCellMar>
            <w:top w:w="15" w:type="dxa"/>
            <w:left w:w="15" w:type="dxa"/>
            <w:bottom w:w="15" w:type="dxa"/>
            <w:right w:w="15" w:type="dxa"/>
          </w:tblCellMar>
        </w:tblPrEx>
        <w:trPr>
          <w:trHeight w:val="245"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61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和旅游</w:t>
            </w:r>
            <w:r>
              <w:rPr>
                <w:rFonts w:hint="eastAsia" w:ascii="宋体" w:hAnsi="宋体" w:cs="宋体"/>
                <w:color w:val="000000"/>
                <w:kern w:val="0"/>
                <w:sz w:val="18"/>
                <w:szCs w:val="18"/>
              </w:rPr>
              <w:t>厅</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自治区网络文化市场监管平台运行经费</w:t>
            </w:r>
          </w:p>
        </w:tc>
      </w:tr>
      <w:tr>
        <w:tblPrEx>
          <w:tblLayout w:type="fixed"/>
          <w:tblCellMar>
            <w:top w:w="15" w:type="dxa"/>
            <w:left w:w="15" w:type="dxa"/>
            <w:bottom w:w="15" w:type="dxa"/>
            <w:right w:w="15" w:type="dxa"/>
          </w:tblCellMar>
        </w:tblPrEx>
        <w:trPr>
          <w:trHeight w:val="17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2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Layout w:type="fixed"/>
          <w:tblCellMar>
            <w:top w:w="15" w:type="dxa"/>
            <w:left w:w="15" w:type="dxa"/>
            <w:bottom w:w="15" w:type="dxa"/>
            <w:right w:w="15" w:type="dxa"/>
          </w:tblCellMar>
        </w:tblPrEx>
        <w:trPr>
          <w:trHeight w:val="29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480" w:type="dxa"/>
            <w:gridSpan w:val="7"/>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通过升级服务器软硬件存储设备设施，开展常态化系统维护，及时解决存在的技术问题，维护自治区网络文化市场监管平台正常运行，加强对全区互联网上网服务场所（简称“网吧）的内容监管，促进网络文化市场健康发展。</w:t>
            </w:r>
          </w:p>
        </w:tc>
      </w:tr>
      <w:tr>
        <w:tblPrEx>
          <w:tblLayout w:type="fixed"/>
          <w:tblCellMar>
            <w:top w:w="15" w:type="dxa"/>
            <w:left w:w="15" w:type="dxa"/>
            <w:bottom w:w="15" w:type="dxa"/>
            <w:right w:w="15" w:type="dxa"/>
          </w:tblCellMar>
        </w:tblPrEx>
        <w:trPr>
          <w:trHeight w:val="260" w:hRule="atLeast"/>
        </w:trPr>
        <w:tc>
          <w:tcPr>
            <w:tcW w:w="15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15" w:type="dxa"/>
            <w:left w:w="15" w:type="dxa"/>
            <w:bottom w:w="15" w:type="dxa"/>
            <w:right w:w="15" w:type="dxa"/>
          </w:tblCellMar>
        </w:tblPrEx>
        <w:trPr>
          <w:trHeight w:val="230"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软件开发成本占比</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r>
      <w:tr>
        <w:tblPrEx>
          <w:tblLayout w:type="fixed"/>
          <w:tblCellMar>
            <w:top w:w="15" w:type="dxa"/>
            <w:left w:w="15" w:type="dxa"/>
            <w:bottom w:w="15" w:type="dxa"/>
            <w:right w:w="15" w:type="dxa"/>
          </w:tblCellMar>
        </w:tblPrEx>
        <w:trPr>
          <w:trHeight w:val="24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系统维护运行成本比</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r>
      <w:tr>
        <w:tblPrEx>
          <w:tblLayout w:type="fixed"/>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网吧监管任务完成情况</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存储设备购置数量</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满足数据存储要求≥95%</w:t>
            </w:r>
          </w:p>
        </w:tc>
      </w:tr>
      <w:tr>
        <w:tblPrEx>
          <w:tblLayout w:type="fixed"/>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服务器稳定运行率</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全年持续稳定率≥95%</w:t>
            </w:r>
          </w:p>
        </w:tc>
      </w:tr>
      <w:tr>
        <w:tblPrEx>
          <w:tblLayout w:type="fixed"/>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开展监管平台业务推进会</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工作人员覆盖率≥80%</w:t>
            </w:r>
          </w:p>
        </w:tc>
      </w:tr>
      <w:tr>
        <w:tblPrEx>
          <w:tblLayout w:type="fixed"/>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非法信息报警确认处理率</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确认处理率≥90%</w:t>
            </w:r>
          </w:p>
        </w:tc>
      </w:tr>
      <w:tr>
        <w:tblPrEx>
          <w:tblLayout w:type="fixed"/>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服务器数据存储期</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不少于6个月</w:t>
            </w:r>
          </w:p>
        </w:tc>
      </w:tr>
      <w:tr>
        <w:tblPrEx>
          <w:tblLayout w:type="fixed"/>
          <w:tblCellMar>
            <w:top w:w="15" w:type="dxa"/>
            <w:left w:w="15" w:type="dxa"/>
            <w:bottom w:w="15" w:type="dxa"/>
            <w:right w:w="15" w:type="dxa"/>
          </w:tblCellMar>
        </w:tblPrEx>
        <w:trPr>
          <w:trHeight w:val="200"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开业网吧监管软件安装率</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安装率≥85%</w:t>
            </w:r>
          </w:p>
        </w:tc>
      </w:tr>
      <w:tr>
        <w:tblPrEx>
          <w:tblLayout w:type="fixed"/>
          <w:tblCellMar>
            <w:top w:w="15" w:type="dxa"/>
            <w:left w:w="15" w:type="dxa"/>
            <w:bottom w:w="15" w:type="dxa"/>
            <w:right w:w="15" w:type="dxa"/>
          </w:tblCellMar>
        </w:tblPrEx>
        <w:trPr>
          <w:trHeight w:val="290"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项目效益指标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被列入黑名单的非法网址</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发现一例，列入一例</w:t>
            </w:r>
          </w:p>
        </w:tc>
      </w:tr>
      <w:tr>
        <w:tblPrEx>
          <w:tblLayout w:type="fixed"/>
          <w:tblCellMar>
            <w:top w:w="15" w:type="dxa"/>
            <w:left w:w="15" w:type="dxa"/>
            <w:bottom w:w="15" w:type="dxa"/>
            <w:right w:w="15" w:type="dxa"/>
          </w:tblCellMar>
        </w:tblPrEx>
        <w:trPr>
          <w:trHeight w:val="320"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网吧内浏览黄赌毒现象</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逐年减少</w:t>
            </w:r>
          </w:p>
        </w:tc>
      </w:tr>
      <w:tr>
        <w:tblPrEx>
          <w:tblLayout w:type="fixed"/>
          <w:tblCellMar>
            <w:top w:w="15" w:type="dxa"/>
            <w:left w:w="15" w:type="dxa"/>
            <w:bottom w:w="15" w:type="dxa"/>
            <w:right w:w="15" w:type="dxa"/>
          </w:tblCellMar>
        </w:tblPrEx>
        <w:trPr>
          <w:trHeight w:val="200"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宣传国家和自治区有关政策</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常态化开展</w:t>
            </w:r>
          </w:p>
        </w:tc>
      </w:tr>
      <w:tr>
        <w:tblPrEx>
          <w:tblLayout w:type="fixed"/>
          <w:tblCellMar>
            <w:top w:w="15" w:type="dxa"/>
            <w:left w:w="15" w:type="dxa"/>
            <w:bottom w:w="15" w:type="dxa"/>
            <w:right w:w="15" w:type="dxa"/>
          </w:tblCellMar>
        </w:tblPrEx>
        <w:trPr>
          <w:trHeight w:val="435" w:hRule="atLeast"/>
        </w:trPr>
        <w:tc>
          <w:tcPr>
            <w:tcW w:w="1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社会公众满意度</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trHeight w:val="435" w:hRule="atLeast"/>
        </w:trPr>
        <w:tc>
          <w:tcPr>
            <w:tcW w:w="1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5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网吧上网用户满意度</w:t>
            </w:r>
          </w:p>
        </w:tc>
        <w:tc>
          <w:tcPr>
            <w:tcW w:w="4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bl>
    <w:p>
      <w:pPr>
        <w:widowControl/>
        <w:spacing w:beforeLines="50"/>
        <w:jc w:val="center"/>
        <w:outlineLvl w:val="1"/>
        <w:rPr>
          <w:rFonts w:ascii="黑体" w:hAnsi="黑体" w:eastAsia="黑体"/>
          <w:kern w:val="0"/>
          <w:sz w:val="32"/>
          <w:szCs w:val="32"/>
        </w:rPr>
        <w:sectPr>
          <w:pgSz w:w="16838" w:h="11906" w:orient="landscape"/>
          <w:pgMar w:top="1800" w:right="1440" w:bottom="1800" w:left="1440" w:header="851" w:footer="992" w:gutter="0"/>
          <w:cols w:space="425" w:num="1"/>
          <w:docGrid w:type="lines" w:linePitch="312" w:charSpace="0"/>
        </w:sectPr>
      </w:pPr>
    </w:p>
    <w:tbl>
      <w:tblPr>
        <w:tblStyle w:val="5"/>
        <w:tblW w:w="14165" w:type="dxa"/>
        <w:tblInd w:w="0" w:type="dxa"/>
        <w:tblLayout w:type="fixed"/>
        <w:tblCellMar>
          <w:top w:w="15" w:type="dxa"/>
          <w:left w:w="15" w:type="dxa"/>
          <w:bottom w:w="15" w:type="dxa"/>
          <w:right w:w="15" w:type="dxa"/>
        </w:tblCellMar>
      </w:tblPr>
      <w:tblGrid>
        <w:gridCol w:w="1514"/>
        <w:gridCol w:w="3"/>
        <w:gridCol w:w="213"/>
        <w:gridCol w:w="3"/>
        <w:gridCol w:w="26"/>
        <w:gridCol w:w="99"/>
        <w:gridCol w:w="30"/>
        <w:gridCol w:w="126"/>
        <w:gridCol w:w="76"/>
        <w:gridCol w:w="93"/>
        <w:gridCol w:w="715"/>
        <w:gridCol w:w="216"/>
        <w:gridCol w:w="159"/>
        <w:gridCol w:w="144"/>
        <w:gridCol w:w="72"/>
        <w:gridCol w:w="174"/>
        <w:gridCol w:w="99"/>
        <w:gridCol w:w="81"/>
        <w:gridCol w:w="12"/>
        <w:gridCol w:w="37"/>
        <w:gridCol w:w="86"/>
        <w:gridCol w:w="195"/>
        <w:gridCol w:w="3"/>
        <w:gridCol w:w="18"/>
        <w:gridCol w:w="157"/>
        <w:gridCol w:w="38"/>
        <w:gridCol w:w="216"/>
        <w:gridCol w:w="237"/>
        <w:gridCol w:w="145"/>
        <w:gridCol w:w="133"/>
        <w:gridCol w:w="114"/>
        <w:gridCol w:w="96"/>
        <w:gridCol w:w="179"/>
        <w:gridCol w:w="42"/>
        <w:gridCol w:w="65"/>
        <w:gridCol w:w="109"/>
        <w:gridCol w:w="107"/>
        <w:gridCol w:w="109"/>
        <w:gridCol w:w="323"/>
        <w:gridCol w:w="261"/>
        <w:gridCol w:w="216"/>
        <w:gridCol w:w="123"/>
        <w:gridCol w:w="157"/>
        <w:gridCol w:w="224"/>
        <w:gridCol w:w="285"/>
        <w:gridCol w:w="139"/>
        <w:gridCol w:w="81"/>
        <w:gridCol w:w="96"/>
        <w:gridCol w:w="3"/>
        <w:gridCol w:w="301"/>
        <w:gridCol w:w="82"/>
        <w:gridCol w:w="91"/>
        <w:gridCol w:w="128"/>
        <w:gridCol w:w="69"/>
        <w:gridCol w:w="44"/>
        <w:gridCol w:w="98"/>
        <w:gridCol w:w="143"/>
        <w:gridCol w:w="120"/>
        <w:gridCol w:w="21"/>
        <w:gridCol w:w="81"/>
        <w:gridCol w:w="127"/>
        <w:gridCol w:w="75"/>
        <w:gridCol w:w="384"/>
        <w:gridCol w:w="80"/>
        <w:gridCol w:w="70"/>
        <w:gridCol w:w="29"/>
        <w:gridCol w:w="97"/>
        <w:gridCol w:w="26"/>
        <w:gridCol w:w="70"/>
        <w:gridCol w:w="146"/>
        <w:gridCol w:w="296"/>
        <w:gridCol w:w="142"/>
        <w:gridCol w:w="40"/>
        <w:gridCol w:w="34"/>
        <w:gridCol w:w="4"/>
        <w:gridCol w:w="57"/>
        <w:gridCol w:w="87"/>
        <w:gridCol w:w="74"/>
        <w:gridCol w:w="73"/>
        <w:gridCol w:w="511"/>
        <w:gridCol w:w="30"/>
        <w:gridCol w:w="53"/>
        <w:gridCol w:w="107"/>
        <w:gridCol w:w="230"/>
        <w:gridCol w:w="343"/>
        <w:gridCol w:w="66"/>
        <w:gridCol w:w="45"/>
        <w:gridCol w:w="167"/>
        <w:gridCol w:w="222"/>
        <w:gridCol w:w="6"/>
        <w:gridCol w:w="32"/>
        <w:gridCol w:w="11"/>
        <w:gridCol w:w="173"/>
        <w:gridCol w:w="10"/>
        <w:gridCol w:w="216"/>
        <w:gridCol w:w="33"/>
        <w:gridCol w:w="189"/>
        <w:gridCol w:w="222"/>
        <w:gridCol w:w="9"/>
        <w:gridCol w:w="24"/>
        <w:gridCol w:w="166"/>
        <w:gridCol w:w="44"/>
        <w:gridCol w:w="78"/>
        <w:gridCol w:w="73"/>
        <w:gridCol w:w="15"/>
        <w:gridCol w:w="152"/>
      </w:tblGrid>
      <w:tr>
        <w:tblPrEx>
          <w:tblLayout w:type="fixed"/>
          <w:tblCellMar>
            <w:top w:w="15" w:type="dxa"/>
            <w:left w:w="15" w:type="dxa"/>
            <w:bottom w:w="15" w:type="dxa"/>
            <w:right w:w="15" w:type="dxa"/>
          </w:tblCellMar>
        </w:tblPrEx>
        <w:trPr>
          <w:gridAfter w:val="2"/>
          <w:wAfter w:w="167" w:type="dxa"/>
          <w:trHeight w:val="360" w:hRule="atLeast"/>
        </w:trPr>
        <w:tc>
          <w:tcPr>
            <w:tcW w:w="13998" w:type="dxa"/>
            <w:gridSpan w:val="104"/>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Layout w:type="fixed"/>
          <w:tblCellMar>
            <w:top w:w="15" w:type="dxa"/>
            <w:left w:w="15" w:type="dxa"/>
            <w:bottom w:w="15" w:type="dxa"/>
            <w:right w:w="15" w:type="dxa"/>
          </w:tblCellMar>
        </w:tblPrEx>
        <w:trPr>
          <w:gridAfter w:val="2"/>
          <w:wAfter w:w="167" w:type="dxa"/>
          <w:trHeight w:val="230" w:hRule="atLeast"/>
        </w:trPr>
        <w:tc>
          <w:tcPr>
            <w:tcW w:w="20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5736" w:type="dxa"/>
            <w:gridSpan w:val="3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和旅游</w:t>
            </w:r>
            <w:r>
              <w:rPr>
                <w:rFonts w:hint="eastAsia" w:ascii="宋体" w:hAnsi="宋体" w:cs="宋体"/>
                <w:color w:val="000000"/>
                <w:kern w:val="0"/>
                <w:sz w:val="18"/>
                <w:szCs w:val="18"/>
              </w:rPr>
              <w:t>厅</w:t>
            </w:r>
          </w:p>
        </w:tc>
        <w:tc>
          <w:tcPr>
            <w:tcW w:w="2859" w:type="dxa"/>
            <w:gridSpan w:val="2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自治区文化信息资源共享工程专项经费</w:t>
            </w:r>
          </w:p>
        </w:tc>
      </w:tr>
      <w:tr>
        <w:tblPrEx>
          <w:tblLayout w:type="fixed"/>
          <w:tblCellMar>
            <w:top w:w="15" w:type="dxa"/>
            <w:left w:w="15" w:type="dxa"/>
            <w:bottom w:w="15" w:type="dxa"/>
            <w:right w:w="15" w:type="dxa"/>
          </w:tblCellMar>
        </w:tblPrEx>
        <w:trPr>
          <w:gridAfter w:val="2"/>
          <w:wAfter w:w="167" w:type="dxa"/>
          <w:trHeight w:val="170" w:hRule="atLeast"/>
        </w:trPr>
        <w:tc>
          <w:tcPr>
            <w:tcW w:w="20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1841"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276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859" w:type="dxa"/>
            <w:gridSpan w:val="2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300</w:t>
            </w:r>
          </w:p>
        </w:tc>
        <w:tc>
          <w:tcPr>
            <w:tcW w:w="126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12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Layout w:type="fixed"/>
          <w:tblCellMar>
            <w:top w:w="15" w:type="dxa"/>
            <w:left w:w="15" w:type="dxa"/>
            <w:bottom w:w="15" w:type="dxa"/>
            <w:right w:w="15" w:type="dxa"/>
          </w:tblCellMar>
        </w:tblPrEx>
        <w:trPr>
          <w:gridAfter w:val="2"/>
          <w:wAfter w:w="167" w:type="dxa"/>
          <w:trHeight w:val="479" w:hRule="atLeast"/>
        </w:trPr>
        <w:tc>
          <w:tcPr>
            <w:tcW w:w="20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1984" w:type="dxa"/>
            <w:gridSpan w:val="96"/>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为提高新疆文化共享工程整体运行水平，为全疆各级支中心提供基础网络信息技术保障，提高专业人员技术水平，加大数资源的供给，大力推广共享工程建设成果，开展形式多样的宣传服务推广工作。</w:t>
            </w:r>
          </w:p>
        </w:tc>
      </w:tr>
      <w:tr>
        <w:tblPrEx>
          <w:tblLayout w:type="fixed"/>
          <w:tblCellMar>
            <w:top w:w="15" w:type="dxa"/>
            <w:left w:w="15" w:type="dxa"/>
            <w:bottom w:w="15" w:type="dxa"/>
            <w:right w:w="15" w:type="dxa"/>
          </w:tblCellMar>
        </w:tblPrEx>
        <w:trPr>
          <w:gridAfter w:val="2"/>
          <w:wAfter w:w="167" w:type="dxa"/>
          <w:trHeight w:val="420" w:hRule="atLeast"/>
        </w:trPr>
        <w:tc>
          <w:tcPr>
            <w:tcW w:w="20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2159"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15" w:type="dxa"/>
            <w:left w:w="15" w:type="dxa"/>
            <w:bottom w:w="15" w:type="dxa"/>
            <w:right w:w="15" w:type="dxa"/>
          </w:tblCellMar>
        </w:tblPrEx>
        <w:trPr>
          <w:gridAfter w:val="2"/>
          <w:wAfter w:w="167" w:type="dxa"/>
          <w:trHeight w:val="245" w:hRule="atLeast"/>
        </w:trPr>
        <w:tc>
          <w:tcPr>
            <w:tcW w:w="2014"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2159" w:type="dxa"/>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保障全疆图书馆业务支持</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自动化软件运行正常率≥98%</w:t>
            </w:r>
          </w:p>
        </w:tc>
      </w:tr>
      <w:tr>
        <w:tblPrEx>
          <w:tblLayout w:type="fixed"/>
          <w:tblCellMar>
            <w:top w:w="15" w:type="dxa"/>
            <w:left w:w="15" w:type="dxa"/>
            <w:bottom w:w="15" w:type="dxa"/>
            <w:right w:w="15" w:type="dxa"/>
          </w:tblCellMar>
        </w:tblPrEx>
        <w:trPr>
          <w:gridAfter w:val="2"/>
          <w:wAfter w:w="167" w:type="dxa"/>
          <w:trHeight w:val="245"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保障新馆资源总量比</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新购进数字资源≥40%</w:t>
            </w:r>
          </w:p>
        </w:tc>
      </w:tr>
      <w:tr>
        <w:tblPrEx>
          <w:tblLayout w:type="fixed"/>
          <w:tblCellMar>
            <w:top w:w="15" w:type="dxa"/>
            <w:left w:w="15" w:type="dxa"/>
            <w:bottom w:w="15" w:type="dxa"/>
            <w:right w:w="15" w:type="dxa"/>
          </w:tblCellMar>
        </w:tblPrEx>
        <w:trPr>
          <w:gridAfter w:val="2"/>
          <w:wAfter w:w="167" w:type="dxa"/>
          <w:trHeight w:val="26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保障中心机房各种系统的平稳运行，确保应用畅通</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服务器正常率≥95%</w:t>
            </w:r>
          </w:p>
        </w:tc>
      </w:tr>
      <w:tr>
        <w:tblPrEx>
          <w:tblLayout w:type="fixed"/>
          <w:tblCellMar>
            <w:top w:w="15" w:type="dxa"/>
            <w:left w:w="15" w:type="dxa"/>
            <w:bottom w:w="15" w:type="dxa"/>
            <w:right w:w="15" w:type="dxa"/>
          </w:tblCellMar>
        </w:tblPrEx>
        <w:trPr>
          <w:gridAfter w:val="2"/>
          <w:wAfter w:w="167" w:type="dxa"/>
          <w:trHeight w:val="265"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保障中心机房数据安全</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存储设备正常率≥95%</w:t>
            </w:r>
          </w:p>
        </w:tc>
      </w:tr>
      <w:tr>
        <w:tblPrEx>
          <w:tblLayout w:type="fixed"/>
          <w:tblCellMar>
            <w:top w:w="15" w:type="dxa"/>
            <w:left w:w="15" w:type="dxa"/>
            <w:bottom w:w="15" w:type="dxa"/>
            <w:right w:w="15" w:type="dxa"/>
          </w:tblCellMar>
        </w:tblPrEx>
        <w:trPr>
          <w:gridAfter w:val="2"/>
          <w:wAfter w:w="167" w:type="dxa"/>
          <w:trHeight w:val="245"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保障中心机房网络安全</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网络安全正常率≥95%</w:t>
            </w:r>
          </w:p>
        </w:tc>
      </w:tr>
      <w:tr>
        <w:tblPrEx>
          <w:tblLayout w:type="fixed"/>
          <w:tblCellMar>
            <w:top w:w="15" w:type="dxa"/>
            <w:left w:w="15" w:type="dxa"/>
            <w:bottom w:w="15" w:type="dxa"/>
            <w:right w:w="15" w:type="dxa"/>
          </w:tblCellMar>
        </w:tblPrEx>
        <w:trPr>
          <w:gridAfter w:val="2"/>
          <w:wAfter w:w="167" w:type="dxa"/>
          <w:trHeight w:val="26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参加文化共享工程和数图推广工程组织的各类培训</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人员≥20人</w:t>
            </w:r>
          </w:p>
        </w:tc>
      </w:tr>
      <w:tr>
        <w:tblPrEx>
          <w:tblLayout w:type="fixed"/>
          <w:tblCellMar>
            <w:top w:w="15" w:type="dxa"/>
            <w:left w:w="15" w:type="dxa"/>
            <w:bottom w:w="15" w:type="dxa"/>
            <w:right w:w="15" w:type="dxa"/>
          </w:tblCellMar>
        </w:tblPrEx>
        <w:trPr>
          <w:gridAfter w:val="2"/>
          <w:wAfter w:w="167" w:type="dxa"/>
          <w:trHeight w:val="215"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春雨工程新疆部分基层骨干培训班一期（内地）</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人员≥40人</w:t>
            </w:r>
          </w:p>
        </w:tc>
      </w:tr>
      <w:tr>
        <w:tblPrEx>
          <w:tblLayout w:type="fixed"/>
          <w:tblCellMar>
            <w:top w:w="15" w:type="dxa"/>
            <w:left w:w="15" w:type="dxa"/>
            <w:bottom w:w="15" w:type="dxa"/>
            <w:right w:w="15" w:type="dxa"/>
          </w:tblCellMar>
        </w:tblPrEx>
        <w:trPr>
          <w:gridAfter w:val="2"/>
          <w:wAfter w:w="167" w:type="dxa"/>
          <w:trHeight w:val="26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公共文化服云培训班</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人员≥40人</w:t>
            </w:r>
          </w:p>
        </w:tc>
      </w:tr>
      <w:tr>
        <w:tblPrEx>
          <w:tblLayout w:type="fixed"/>
          <w:tblCellMar>
            <w:top w:w="15" w:type="dxa"/>
            <w:left w:w="15" w:type="dxa"/>
            <w:bottom w:w="15" w:type="dxa"/>
            <w:right w:w="15" w:type="dxa"/>
          </w:tblCellMar>
        </w:tblPrEx>
        <w:trPr>
          <w:gridAfter w:val="2"/>
          <w:wAfter w:w="167" w:type="dxa"/>
          <w:trHeight w:val="125"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数字图书馆资源联建培训班一期</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人员≥40人</w:t>
            </w:r>
          </w:p>
        </w:tc>
      </w:tr>
      <w:tr>
        <w:tblPrEx>
          <w:tblLayout w:type="fixed"/>
          <w:tblCellMar>
            <w:top w:w="15" w:type="dxa"/>
            <w:left w:w="15" w:type="dxa"/>
            <w:bottom w:w="15" w:type="dxa"/>
            <w:right w:w="15" w:type="dxa"/>
          </w:tblCellMar>
        </w:tblPrEx>
        <w:trPr>
          <w:gridAfter w:val="2"/>
          <w:wAfter w:w="167" w:type="dxa"/>
          <w:trHeight w:val="26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提高互联网接入服务能力</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新增光纤链路通畅率≥95%</w:t>
            </w:r>
          </w:p>
        </w:tc>
      </w:tr>
      <w:tr>
        <w:tblPrEx>
          <w:tblLayout w:type="fixed"/>
          <w:tblCellMar>
            <w:top w:w="15" w:type="dxa"/>
            <w:left w:w="15" w:type="dxa"/>
            <w:bottom w:w="15" w:type="dxa"/>
            <w:right w:w="15" w:type="dxa"/>
          </w:tblCellMar>
        </w:tblPrEx>
        <w:trPr>
          <w:gridAfter w:val="2"/>
          <w:wAfter w:w="167" w:type="dxa"/>
          <w:trHeight w:val="23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为读者提供有线和无线网络的互联网接入</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光纤链路通畅率≥95%</w:t>
            </w:r>
          </w:p>
        </w:tc>
      </w:tr>
      <w:tr>
        <w:tblPrEx>
          <w:tblLayout w:type="fixed"/>
          <w:tblCellMar>
            <w:top w:w="15" w:type="dxa"/>
            <w:left w:w="15" w:type="dxa"/>
            <w:bottom w:w="15" w:type="dxa"/>
            <w:right w:w="15" w:type="dxa"/>
          </w:tblCellMar>
        </w:tblPrEx>
        <w:trPr>
          <w:gridAfter w:val="2"/>
          <w:wAfter w:w="167" w:type="dxa"/>
          <w:trHeight w:val="17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新疆文化共享工程县级以上基层骨干培训班一期</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人员≥200人</w:t>
            </w:r>
          </w:p>
        </w:tc>
      </w:tr>
      <w:tr>
        <w:tblPrEx>
          <w:tblLayout w:type="fixed"/>
          <w:tblCellMar>
            <w:top w:w="15" w:type="dxa"/>
            <w:left w:w="15" w:type="dxa"/>
            <w:bottom w:w="15" w:type="dxa"/>
            <w:right w:w="15" w:type="dxa"/>
          </w:tblCellMar>
        </w:tblPrEx>
        <w:trPr>
          <w:gridAfter w:val="2"/>
          <w:wAfter w:w="167" w:type="dxa"/>
          <w:trHeight w:val="20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保障各种应用稳定运行</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设备正常率≥95%</w:t>
            </w:r>
          </w:p>
        </w:tc>
      </w:tr>
      <w:tr>
        <w:tblPrEx>
          <w:tblLayout w:type="fixed"/>
          <w:tblCellMar>
            <w:top w:w="15" w:type="dxa"/>
            <w:left w:w="15" w:type="dxa"/>
            <w:bottom w:w="15" w:type="dxa"/>
            <w:right w:w="15" w:type="dxa"/>
          </w:tblCellMar>
        </w:tblPrEx>
        <w:trPr>
          <w:gridAfter w:val="2"/>
          <w:wAfter w:w="167" w:type="dxa"/>
          <w:trHeight w:val="95"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保障全疆各级图书馆业务系统升级</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自动化软件版本升级率≥95%</w:t>
            </w:r>
          </w:p>
        </w:tc>
      </w:tr>
      <w:tr>
        <w:tblPrEx>
          <w:tblLayout w:type="fixed"/>
          <w:tblCellMar>
            <w:top w:w="15" w:type="dxa"/>
            <w:left w:w="15" w:type="dxa"/>
            <w:bottom w:w="15" w:type="dxa"/>
            <w:right w:w="15" w:type="dxa"/>
          </w:tblCellMar>
        </w:tblPrEx>
        <w:trPr>
          <w:gridAfter w:val="2"/>
          <w:wAfter w:w="167" w:type="dxa"/>
          <w:trHeight w:val="17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保障图书馆系统运行正常</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网络畅通率≥95%</w:t>
            </w:r>
          </w:p>
        </w:tc>
      </w:tr>
      <w:tr>
        <w:tblPrEx>
          <w:tblLayout w:type="fixed"/>
          <w:tblCellMar>
            <w:top w:w="15" w:type="dxa"/>
            <w:left w:w="15" w:type="dxa"/>
            <w:bottom w:w="15" w:type="dxa"/>
            <w:right w:w="15" w:type="dxa"/>
          </w:tblCellMar>
        </w:tblPrEx>
        <w:trPr>
          <w:gridAfter w:val="2"/>
          <w:wAfter w:w="167" w:type="dxa"/>
          <w:trHeight w:val="420" w:hRule="atLeast"/>
        </w:trPr>
        <w:tc>
          <w:tcPr>
            <w:tcW w:w="2014"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159" w:type="dxa"/>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43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保障资源的对外服务，丰富大众的文化产品的供给</w:t>
            </w:r>
          </w:p>
        </w:tc>
        <w:tc>
          <w:tcPr>
            <w:tcW w:w="3389" w:type="dxa"/>
            <w:gridSpan w:val="3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资源服务率≥95%</w:t>
            </w:r>
          </w:p>
        </w:tc>
      </w:tr>
      <w:tr>
        <w:tblPrEx>
          <w:tblLayout w:type="fixed"/>
          <w:tblCellMar>
            <w:top w:w="15" w:type="dxa"/>
            <w:left w:w="15" w:type="dxa"/>
            <w:bottom w:w="15" w:type="dxa"/>
            <w:right w:w="15" w:type="dxa"/>
          </w:tblCellMar>
        </w:tblPrEx>
        <w:trPr>
          <w:gridAfter w:val="1"/>
          <w:wAfter w:w="152" w:type="dxa"/>
          <w:trHeight w:val="360" w:hRule="atLeast"/>
        </w:trPr>
        <w:tc>
          <w:tcPr>
            <w:tcW w:w="14013" w:type="dxa"/>
            <w:gridSpan w:val="105"/>
            <w:shd w:val="clear" w:color="auto" w:fill="auto"/>
            <w:vAlign w:val="bottom"/>
          </w:tcPr>
          <w:p>
            <w:pPr>
              <w:widowControl/>
              <w:jc w:val="center"/>
              <w:textAlignment w:val="bottom"/>
              <w:rPr>
                <w:rFonts w:ascii="宋体" w:hAnsi="宋体" w:cs="宋体"/>
                <w:b/>
                <w:color w:val="000000"/>
                <w:sz w:val="32"/>
                <w:szCs w:val="32"/>
              </w:rPr>
            </w:pPr>
            <w:r>
              <w:rPr>
                <w:rFonts w:hint="eastAsia" w:ascii="宋体" w:hAnsi="宋体" w:cs="宋体"/>
                <w:b/>
                <w:color w:val="000000"/>
                <w:kern w:val="0"/>
                <w:sz w:val="32"/>
                <w:szCs w:val="32"/>
              </w:rPr>
              <w:t>项  目  支  出  绩  效  目  标  表</w:t>
            </w:r>
          </w:p>
        </w:tc>
      </w:tr>
      <w:tr>
        <w:tblPrEx>
          <w:tblLayout w:type="fixed"/>
          <w:tblCellMar>
            <w:top w:w="15" w:type="dxa"/>
            <w:left w:w="15" w:type="dxa"/>
            <w:bottom w:w="15" w:type="dxa"/>
            <w:right w:w="15" w:type="dxa"/>
          </w:tblCellMar>
        </w:tblPrEx>
        <w:trPr>
          <w:gridAfter w:val="1"/>
          <w:wAfter w:w="152" w:type="dxa"/>
          <w:trHeight w:val="452" w:hRule="atLeast"/>
        </w:trPr>
        <w:tc>
          <w:tcPr>
            <w:tcW w:w="17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预算单位</w:t>
            </w:r>
          </w:p>
        </w:tc>
        <w:tc>
          <w:tcPr>
            <w:tcW w:w="5991" w:type="dxa"/>
            <w:gridSpan w:val="4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和旅游</w:t>
            </w:r>
            <w:r>
              <w:rPr>
                <w:rFonts w:hint="eastAsia" w:ascii="宋体" w:hAnsi="宋体" w:cs="宋体"/>
                <w:color w:val="000000"/>
                <w:kern w:val="0"/>
                <w:sz w:val="18"/>
                <w:szCs w:val="18"/>
              </w:rPr>
              <w:t>厅</w:t>
            </w:r>
          </w:p>
        </w:tc>
        <w:tc>
          <w:tcPr>
            <w:tcW w:w="213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项目名称</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自治区文化艺术创作专项扶持项目</w:t>
            </w:r>
          </w:p>
        </w:tc>
      </w:tr>
      <w:tr>
        <w:tblPrEx>
          <w:tblLayout w:type="fixed"/>
          <w:tblCellMar>
            <w:top w:w="15" w:type="dxa"/>
            <w:left w:w="15" w:type="dxa"/>
            <w:bottom w:w="15" w:type="dxa"/>
            <w:right w:w="15" w:type="dxa"/>
          </w:tblCellMar>
        </w:tblPrEx>
        <w:trPr>
          <w:gridAfter w:val="1"/>
          <w:wAfter w:w="152" w:type="dxa"/>
          <w:trHeight w:val="842" w:hRule="atLeast"/>
        </w:trPr>
        <w:tc>
          <w:tcPr>
            <w:tcW w:w="17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项目资金（万元）</w:t>
            </w:r>
          </w:p>
        </w:tc>
        <w:tc>
          <w:tcPr>
            <w:tcW w:w="2096"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年度资金总额：</w:t>
            </w:r>
          </w:p>
        </w:tc>
        <w:tc>
          <w:tcPr>
            <w:tcW w:w="113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276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其中：财政拨款</w:t>
            </w:r>
          </w:p>
        </w:tc>
        <w:tc>
          <w:tcPr>
            <w:tcW w:w="213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800</w:t>
            </w:r>
          </w:p>
        </w:tc>
        <w:tc>
          <w:tcPr>
            <w:tcW w:w="1560"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其他资金</w:t>
            </w:r>
          </w:p>
        </w:tc>
        <w:tc>
          <w:tcPr>
            <w:tcW w:w="2564" w:type="dxa"/>
            <w:gridSpan w:val="2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w:t>
            </w:r>
          </w:p>
        </w:tc>
      </w:tr>
      <w:tr>
        <w:tblPrEx>
          <w:tblLayout w:type="fixed"/>
          <w:tblCellMar>
            <w:top w:w="15" w:type="dxa"/>
            <w:left w:w="15" w:type="dxa"/>
            <w:bottom w:w="15" w:type="dxa"/>
            <w:right w:w="15" w:type="dxa"/>
          </w:tblCellMar>
        </w:tblPrEx>
        <w:trPr>
          <w:gridAfter w:val="1"/>
          <w:wAfter w:w="152" w:type="dxa"/>
          <w:trHeight w:val="1037" w:hRule="atLeast"/>
        </w:trPr>
        <w:tc>
          <w:tcPr>
            <w:tcW w:w="17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项目总体目标</w:t>
            </w:r>
          </w:p>
        </w:tc>
        <w:tc>
          <w:tcPr>
            <w:tcW w:w="12254" w:type="dxa"/>
            <w:gridSpan w:val="100"/>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cs="宋体"/>
                <w:color w:val="000000"/>
                <w:sz w:val="18"/>
                <w:szCs w:val="18"/>
              </w:rPr>
            </w:pPr>
            <w:r>
              <w:rPr>
                <w:rFonts w:hint="eastAsia" w:ascii="宋体" w:hAnsi="宋体" w:cs="宋体"/>
                <w:color w:val="000000"/>
                <w:kern w:val="0"/>
                <w:sz w:val="13"/>
                <w:szCs w:val="13"/>
              </w:rPr>
              <w:t>围绕中华人民共和国成立70周年，有侧重地推出一批弘扬爱国主义精神的精品力作，抒写新中国诞生后，在中国共产党领导下，新疆各族人民在维护祖国统一、实现国家富强、民族振兴的伟大征程中取得的辉煌成就努力表现在中国革命时期，包括新疆各族人民在内的中华儿女和革命先烈勇敢投身抗日战争和解放战争，献身中华民族解放事业的英勇光辉形象把独特资源优势转化为文化产品优势，努力推出精品力作，保持全国专业类权威大奖和“五个一工程”获奖作品数量稳步增加，努力形成新疆文艺创作生产的“高峰”。</w:t>
            </w:r>
          </w:p>
        </w:tc>
      </w:tr>
      <w:tr>
        <w:tblPrEx>
          <w:tblLayout w:type="fixed"/>
          <w:tblCellMar>
            <w:top w:w="15" w:type="dxa"/>
            <w:left w:w="15" w:type="dxa"/>
            <w:bottom w:w="15" w:type="dxa"/>
            <w:right w:w="15" w:type="dxa"/>
          </w:tblCellMar>
        </w:tblPrEx>
        <w:trPr>
          <w:gridAfter w:val="1"/>
          <w:wAfter w:w="152" w:type="dxa"/>
          <w:trHeight w:val="215" w:hRule="atLeast"/>
        </w:trPr>
        <w:tc>
          <w:tcPr>
            <w:tcW w:w="17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一级指标</w:t>
            </w:r>
          </w:p>
        </w:tc>
        <w:tc>
          <w:tcPr>
            <w:tcW w:w="1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二级指标</w:t>
            </w: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三级指标</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指标值（包含数字及文字描述）</w:t>
            </w:r>
          </w:p>
        </w:tc>
      </w:tr>
      <w:tr>
        <w:tblPrEx>
          <w:tblLayout w:type="fixed"/>
          <w:tblCellMar>
            <w:top w:w="15" w:type="dxa"/>
            <w:left w:w="15" w:type="dxa"/>
            <w:bottom w:w="15" w:type="dxa"/>
            <w:right w:w="15" w:type="dxa"/>
          </w:tblCellMar>
        </w:tblPrEx>
        <w:trPr>
          <w:gridAfter w:val="1"/>
          <w:wAfter w:w="152" w:type="dxa"/>
          <w:trHeight w:val="542" w:hRule="atLeast"/>
        </w:trPr>
        <w:tc>
          <w:tcPr>
            <w:tcW w:w="175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项目完成指标</w:t>
            </w:r>
          </w:p>
        </w:tc>
        <w:tc>
          <w:tcPr>
            <w:tcW w:w="1904"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成本指标</w:t>
            </w: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采风、创作费用</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r>
      <w:tr>
        <w:tblPrEx>
          <w:tblLayout w:type="fixed"/>
          <w:tblCellMar>
            <w:top w:w="15" w:type="dxa"/>
            <w:left w:w="15" w:type="dxa"/>
            <w:bottom w:w="15" w:type="dxa"/>
            <w:right w:w="15" w:type="dxa"/>
          </w:tblCellMar>
        </w:tblPrEx>
        <w:trPr>
          <w:gridAfter w:val="1"/>
          <w:wAfter w:w="152" w:type="dxa"/>
          <w:trHeight w:val="427" w:hRule="atLeast"/>
        </w:trPr>
        <w:tc>
          <w:tcPr>
            <w:tcW w:w="17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排演、制作费用</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80%</w:t>
            </w:r>
          </w:p>
        </w:tc>
      </w:tr>
      <w:tr>
        <w:tblPrEx>
          <w:tblLayout w:type="fixed"/>
          <w:tblCellMar>
            <w:top w:w="15" w:type="dxa"/>
            <w:left w:w="15" w:type="dxa"/>
            <w:bottom w:w="15" w:type="dxa"/>
            <w:right w:w="15" w:type="dxa"/>
          </w:tblCellMar>
        </w:tblPrEx>
        <w:trPr>
          <w:gridAfter w:val="1"/>
          <w:wAfter w:w="152" w:type="dxa"/>
          <w:trHeight w:val="367" w:hRule="atLeast"/>
        </w:trPr>
        <w:tc>
          <w:tcPr>
            <w:tcW w:w="17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时效指标</w:t>
            </w: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2019年12月30日前完成</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gridAfter w:val="1"/>
          <w:wAfter w:w="152" w:type="dxa"/>
          <w:trHeight w:val="307" w:hRule="atLeast"/>
        </w:trPr>
        <w:tc>
          <w:tcPr>
            <w:tcW w:w="17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数量指标</w:t>
            </w: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大型舞台剧2-3部</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gridAfter w:val="1"/>
          <w:wAfter w:w="152" w:type="dxa"/>
          <w:trHeight w:val="385" w:hRule="atLeast"/>
        </w:trPr>
        <w:tc>
          <w:tcPr>
            <w:tcW w:w="17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美术项目10个，剧本创作5个</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gridAfter w:val="1"/>
          <w:wAfter w:w="152" w:type="dxa"/>
          <w:trHeight w:val="352" w:hRule="atLeast"/>
        </w:trPr>
        <w:tc>
          <w:tcPr>
            <w:tcW w:w="17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小型剧（节）目和作品项目5-6部</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gridAfter w:val="1"/>
          <w:wAfter w:w="152" w:type="dxa"/>
          <w:trHeight w:val="397" w:hRule="atLeast"/>
        </w:trPr>
        <w:tc>
          <w:tcPr>
            <w:tcW w:w="17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质量指标</w:t>
            </w: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制作精良全国二流上水准</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gridAfter w:val="1"/>
          <w:wAfter w:w="152" w:type="dxa"/>
          <w:trHeight w:val="367" w:hRule="atLeast"/>
        </w:trPr>
        <w:tc>
          <w:tcPr>
            <w:tcW w:w="17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项目效益指标</w:t>
            </w:r>
          </w:p>
        </w:tc>
        <w:tc>
          <w:tcPr>
            <w:tcW w:w="1904"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社会效益指标</w:t>
            </w: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演出场次30场以上</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gridAfter w:val="1"/>
          <w:wAfter w:w="152" w:type="dxa"/>
          <w:trHeight w:val="337" w:hRule="atLeast"/>
        </w:trPr>
        <w:tc>
          <w:tcPr>
            <w:tcW w:w="175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1904" w:type="dxa"/>
            <w:gridSpan w:val="11"/>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满意度指标</w:t>
            </w: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社会公众满意度</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15" w:type="dxa"/>
            <w:left w:w="15" w:type="dxa"/>
            <w:bottom w:w="15" w:type="dxa"/>
            <w:right w:w="15" w:type="dxa"/>
          </w:tblCellMar>
        </w:tblPrEx>
        <w:trPr>
          <w:gridAfter w:val="1"/>
          <w:wAfter w:w="152" w:type="dxa"/>
          <w:trHeight w:val="332" w:hRule="atLeast"/>
        </w:trPr>
        <w:tc>
          <w:tcPr>
            <w:tcW w:w="17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904" w:type="dxa"/>
            <w:gridSpan w:val="11"/>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6226" w:type="dxa"/>
            <w:gridSpan w:val="5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专家满意度</w:t>
            </w:r>
          </w:p>
        </w:tc>
        <w:tc>
          <w:tcPr>
            <w:tcW w:w="4124" w:type="dxa"/>
            <w:gridSpan w:val="3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≥90%</w:t>
            </w:r>
          </w:p>
        </w:tc>
      </w:tr>
      <w:tr>
        <w:tblPrEx>
          <w:tblLayout w:type="fixed"/>
          <w:tblCellMar>
            <w:top w:w="0" w:type="dxa"/>
            <w:left w:w="108" w:type="dxa"/>
            <w:bottom w:w="0" w:type="dxa"/>
            <w:right w:w="108" w:type="dxa"/>
          </w:tblCellMar>
        </w:tblPrEx>
        <w:trPr>
          <w:gridAfter w:val="5"/>
          <w:wAfter w:w="362" w:type="dxa"/>
          <w:trHeight w:val="360" w:hRule="atLeast"/>
        </w:trPr>
        <w:tc>
          <w:tcPr>
            <w:tcW w:w="13803" w:type="dxa"/>
            <w:gridSpan w:val="101"/>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trHeight w:val="360" w:hRule="atLeast"/>
        </w:trPr>
        <w:tc>
          <w:tcPr>
            <w:tcW w:w="1514"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600" w:type="dxa"/>
            <w:gridSpan w:val="1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gridSpan w:val="1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531" w:type="dxa"/>
            <w:gridSpan w:val="1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944" w:type="dxa"/>
            <w:gridSpan w:val="10"/>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654"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46" w:type="dxa"/>
            <w:gridSpan w:val="20"/>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846" w:type="dxa"/>
            <w:gridSpan w:val="2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88"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40"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5"/>
          <w:wAfter w:w="362" w:type="dxa"/>
          <w:trHeight w:val="277" w:hRule="atLeast"/>
        </w:trPr>
        <w:tc>
          <w:tcPr>
            <w:tcW w:w="15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809"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新疆维吾尔自治区图书馆（新疆维吾尔自治区古籍保护中心）</w:t>
            </w:r>
          </w:p>
        </w:tc>
        <w:tc>
          <w:tcPr>
            <w:tcW w:w="2246"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234"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古籍保护专项经费</w:t>
            </w:r>
          </w:p>
        </w:tc>
      </w:tr>
      <w:tr>
        <w:tblPrEx>
          <w:tblLayout w:type="fixed"/>
          <w:tblCellMar>
            <w:top w:w="0" w:type="dxa"/>
            <w:left w:w="108" w:type="dxa"/>
            <w:bottom w:w="0" w:type="dxa"/>
            <w:right w:w="108" w:type="dxa"/>
          </w:tblCellMar>
        </w:tblPrEx>
        <w:trPr>
          <w:gridAfter w:val="5"/>
          <w:wAfter w:w="362" w:type="dxa"/>
          <w:trHeight w:val="385" w:hRule="atLeast"/>
        </w:trPr>
        <w:tc>
          <w:tcPr>
            <w:tcW w:w="151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680"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040"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3089" w:type="dxa"/>
            <w:gridSpan w:val="2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2246" w:type="dxa"/>
            <w:gridSpan w:val="20"/>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2192"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04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5"/>
          <w:wAfter w:w="362" w:type="dxa"/>
          <w:trHeight w:val="586" w:hRule="atLeast"/>
        </w:trPr>
        <w:tc>
          <w:tcPr>
            <w:tcW w:w="151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289" w:type="dxa"/>
            <w:gridSpan w:val="100"/>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新疆古籍保护工作将取得长足发展新疆古籍修复中心将以国家古籍修复中心的标准化开展修复工作；古籍存藏量进一步完备，古籍保护得以宣传，古籍利用率有效增加。</w:t>
            </w:r>
          </w:p>
        </w:tc>
      </w:tr>
      <w:tr>
        <w:tblPrEx>
          <w:tblLayout w:type="fixed"/>
          <w:tblCellMar>
            <w:top w:w="0" w:type="dxa"/>
            <w:left w:w="108" w:type="dxa"/>
            <w:bottom w:w="0" w:type="dxa"/>
            <w:right w:w="108" w:type="dxa"/>
          </w:tblCellMar>
        </w:tblPrEx>
        <w:trPr>
          <w:gridAfter w:val="5"/>
          <w:wAfter w:w="362" w:type="dxa"/>
          <w:trHeight w:val="338" w:hRule="atLeast"/>
        </w:trPr>
        <w:tc>
          <w:tcPr>
            <w:tcW w:w="151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600"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5"/>
          <w:wAfter w:w="362" w:type="dxa"/>
          <w:trHeight w:val="286" w:hRule="atLeast"/>
        </w:trPr>
        <w:tc>
          <w:tcPr>
            <w:tcW w:w="15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600"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基础设施购置,培训及宣传</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30万元</w:t>
            </w:r>
          </w:p>
        </w:tc>
      </w:tr>
      <w:tr>
        <w:tblPrEx>
          <w:tblLayout w:type="fixed"/>
          <w:tblCellMar>
            <w:top w:w="0" w:type="dxa"/>
            <w:left w:w="108" w:type="dxa"/>
            <w:bottom w:w="0" w:type="dxa"/>
            <w:right w:w="108" w:type="dxa"/>
          </w:tblCellMar>
        </w:tblPrEx>
        <w:trPr>
          <w:gridAfter w:val="5"/>
          <w:wAfter w:w="362" w:type="dxa"/>
          <w:trHeight w:val="391"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购买再版古籍善本</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1批</w:t>
            </w:r>
          </w:p>
        </w:tc>
      </w:tr>
      <w:tr>
        <w:tblPrEx>
          <w:tblLayout w:type="fixed"/>
          <w:tblCellMar>
            <w:top w:w="0" w:type="dxa"/>
            <w:left w:w="108" w:type="dxa"/>
            <w:bottom w:w="0" w:type="dxa"/>
            <w:right w:w="108" w:type="dxa"/>
          </w:tblCellMar>
        </w:tblPrEx>
        <w:trPr>
          <w:gridAfter w:val="5"/>
          <w:wAfter w:w="362" w:type="dxa"/>
          <w:trHeight w:val="499"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购置古籍修复用设备及纸张</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1套</w:t>
            </w:r>
          </w:p>
        </w:tc>
      </w:tr>
      <w:tr>
        <w:tblPrEx>
          <w:tblLayout w:type="fixed"/>
          <w:tblCellMar>
            <w:top w:w="0" w:type="dxa"/>
            <w:left w:w="108" w:type="dxa"/>
            <w:bottom w:w="0" w:type="dxa"/>
            <w:right w:w="108" w:type="dxa"/>
          </w:tblCellMar>
        </w:tblPrEx>
        <w:trPr>
          <w:gridAfter w:val="5"/>
          <w:wAfter w:w="362" w:type="dxa"/>
          <w:trHeight w:val="499"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古籍保护主题宣传活动场次</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1场</w:t>
            </w:r>
          </w:p>
        </w:tc>
      </w:tr>
      <w:tr>
        <w:tblPrEx>
          <w:tblLayout w:type="fixed"/>
          <w:tblCellMar>
            <w:top w:w="0" w:type="dxa"/>
            <w:left w:w="108" w:type="dxa"/>
            <w:bottom w:w="0" w:type="dxa"/>
            <w:right w:w="108" w:type="dxa"/>
          </w:tblCellMar>
        </w:tblPrEx>
        <w:trPr>
          <w:gridAfter w:val="5"/>
          <w:wAfter w:w="362" w:type="dxa"/>
          <w:trHeight w:val="284"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讲座场次</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2场</w:t>
            </w:r>
          </w:p>
        </w:tc>
      </w:tr>
      <w:tr>
        <w:tblPrEx>
          <w:tblLayout w:type="fixed"/>
          <w:tblCellMar>
            <w:top w:w="0" w:type="dxa"/>
            <w:left w:w="108" w:type="dxa"/>
            <w:bottom w:w="0" w:type="dxa"/>
            <w:right w:w="108" w:type="dxa"/>
          </w:tblCellMar>
        </w:tblPrEx>
        <w:trPr>
          <w:gridAfter w:val="5"/>
          <w:wAfter w:w="362" w:type="dxa"/>
          <w:trHeight w:val="499"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举办古籍保护宣传展览场次</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1次</w:t>
            </w:r>
          </w:p>
        </w:tc>
      </w:tr>
      <w:tr>
        <w:tblPrEx>
          <w:tblLayout w:type="fixed"/>
          <w:tblCellMar>
            <w:top w:w="0" w:type="dxa"/>
            <w:left w:w="108" w:type="dxa"/>
            <w:bottom w:w="0" w:type="dxa"/>
            <w:right w:w="108" w:type="dxa"/>
          </w:tblCellMar>
        </w:tblPrEx>
        <w:trPr>
          <w:gridAfter w:val="5"/>
          <w:wAfter w:w="362" w:type="dxa"/>
          <w:trHeight w:val="499"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举办书籍装帧艺术手工坊场次</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1次</w:t>
            </w:r>
          </w:p>
        </w:tc>
      </w:tr>
      <w:tr>
        <w:tblPrEx>
          <w:tblLayout w:type="fixed"/>
          <w:tblCellMar>
            <w:top w:w="0" w:type="dxa"/>
            <w:left w:w="108" w:type="dxa"/>
            <w:bottom w:w="0" w:type="dxa"/>
            <w:right w:w="108" w:type="dxa"/>
          </w:tblCellMar>
        </w:tblPrEx>
        <w:trPr>
          <w:gridAfter w:val="5"/>
          <w:wAfter w:w="362" w:type="dxa"/>
          <w:trHeight w:val="360"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培训古籍保护人员</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10人次</w:t>
            </w:r>
          </w:p>
        </w:tc>
      </w:tr>
      <w:tr>
        <w:tblPrEx>
          <w:tblLayout w:type="fixed"/>
          <w:tblCellMar>
            <w:top w:w="0" w:type="dxa"/>
            <w:left w:w="108" w:type="dxa"/>
            <w:bottom w:w="0" w:type="dxa"/>
            <w:right w:w="108" w:type="dxa"/>
          </w:tblCellMar>
        </w:tblPrEx>
        <w:trPr>
          <w:gridAfter w:val="5"/>
          <w:wAfter w:w="362" w:type="dxa"/>
          <w:trHeight w:val="378"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购置质量合格率</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5"/>
          <w:wAfter w:w="362" w:type="dxa"/>
          <w:trHeight w:val="499" w:hRule="atLeast"/>
        </w:trPr>
        <w:tc>
          <w:tcPr>
            <w:tcW w:w="151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600"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古籍保护团队明显壮大,古籍修复开展持续稳定,馆藏量明显增加</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符合</w:t>
            </w:r>
          </w:p>
        </w:tc>
      </w:tr>
      <w:tr>
        <w:tblPrEx>
          <w:tblLayout w:type="fixed"/>
          <w:tblCellMar>
            <w:top w:w="0" w:type="dxa"/>
            <w:left w:w="108" w:type="dxa"/>
            <w:bottom w:w="0" w:type="dxa"/>
            <w:right w:w="108" w:type="dxa"/>
          </w:tblCellMar>
        </w:tblPrEx>
        <w:trPr>
          <w:gridAfter w:val="5"/>
          <w:wAfter w:w="362" w:type="dxa"/>
          <w:trHeight w:val="499" w:hRule="atLeast"/>
        </w:trPr>
        <w:tc>
          <w:tcPr>
            <w:tcW w:w="15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00"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古籍保护理念深入人心,极大促进我区古籍保护工作的深入开展,古籍得到有效保护</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有所提升</w:t>
            </w:r>
          </w:p>
        </w:tc>
      </w:tr>
      <w:tr>
        <w:tblPrEx>
          <w:tblLayout w:type="fixed"/>
          <w:tblCellMar>
            <w:top w:w="0" w:type="dxa"/>
            <w:left w:w="108" w:type="dxa"/>
            <w:bottom w:w="0" w:type="dxa"/>
            <w:right w:w="108" w:type="dxa"/>
          </w:tblCellMar>
        </w:tblPrEx>
        <w:trPr>
          <w:gridAfter w:val="5"/>
          <w:wAfter w:w="362" w:type="dxa"/>
          <w:trHeight w:val="499" w:hRule="atLeast"/>
        </w:trPr>
        <w:tc>
          <w:tcPr>
            <w:tcW w:w="151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600"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450"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专家及社会公众满意度</w:t>
            </w:r>
          </w:p>
        </w:tc>
        <w:tc>
          <w:tcPr>
            <w:tcW w:w="523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6"/>
          <w:wAfter w:w="528" w:type="dxa"/>
          <w:trHeight w:val="360" w:hRule="atLeast"/>
        </w:trPr>
        <w:tc>
          <w:tcPr>
            <w:tcW w:w="13637" w:type="dxa"/>
            <w:gridSpan w:val="100"/>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6"/>
          <w:wAfter w:w="528" w:type="dxa"/>
          <w:trHeight w:val="277" w:hRule="atLeast"/>
        </w:trPr>
        <w:tc>
          <w:tcPr>
            <w:tcW w:w="18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706" w:type="dxa"/>
            <w:gridSpan w:val="4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新疆维吾尔自治区图书馆（新疆维吾尔自治区古籍保护中心）</w:t>
            </w:r>
          </w:p>
        </w:tc>
        <w:tc>
          <w:tcPr>
            <w:tcW w:w="1567"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506" w:type="dxa"/>
            <w:gridSpan w:val="3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图书馆免费开放运行经费</w:t>
            </w:r>
          </w:p>
        </w:tc>
      </w:tr>
      <w:tr>
        <w:tblPrEx>
          <w:tblLayout w:type="fixed"/>
          <w:tblCellMar>
            <w:top w:w="0" w:type="dxa"/>
            <w:left w:w="108" w:type="dxa"/>
            <w:bottom w:w="0" w:type="dxa"/>
            <w:right w:w="108" w:type="dxa"/>
          </w:tblCellMar>
        </w:tblPrEx>
        <w:trPr>
          <w:gridAfter w:val="6"/>
          <w:wAfter w:w="528" w:type="dxa"/>
          <w:trHeight w:val="240" w:hRule="atLeast"/>
        </w:trPr>
        <w:tc>
          <w:tcPr>
            <w:tcW w:w="185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120"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531"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620</w:t>
            </w:r>
          </w:p>
        </w:tc>
        <w:tc>
          <w:tcPr>
            <w:tcW w:w="3055" w:type="dxa"/>
            <w:gridSpan w:val="2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567"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620</w:t>
            </w:r>
          </w:p>
        </w:tc>
        <w:tc>
          <w:tcPr>
            <w:tcW w:w="3062"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44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6"/>
          <w:wAfter w:w="528" w:type="dxa"/>
          <w:trHeight w:val="343" w:hRule="atLeast"/>
        </w:trPr>
        <w:tc>
          <w:tcPr>
            <w:tcW w:w="185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9" w:type="dxa"/>
            <w:gridSpan w:val="9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1"/>
                <w:szCs w:val="11"/>
              </w:rPr>
            </w:pPr>
            <w:r>
              <w:rPr>
                <w:rFonts w:hint="eastAsia" w:ascii="宋体" w:hAnsi="宋体" w:cs="宋体"/>
                <w:kern w:val="0"/>
                <w:sz w:val="11"/>
                <w:szCs w:val="11"/>
              </w:rPr>
              <w:t>为了确保5.4万平方米新馆水、电、暖、通信、车辆、物业、安保、办公、培训、劳务派遣人员的基本运行经费，保障自治区图书馆作为新疆地区文献信息资源中心、学术交流中心、读者服务中心、馆际协作协调中心基本公共文化服务功能。</w:t>
            </w:r>
          </w:p>
        </w:tc>
      </w:tr>
      <w:tr>
        <w:tblPrEx>
          <w:tblLayout w:type="fixed"/>
          <w:tblCellMar>
            <w:top w:w="0" w:type="dxa"/>
            <w:left w:w="108" w:type="dxa"/>
            <w:bottom w:w="0" w:type="dxa"/>
            <w:right w:w="108" w:type="dxa"/>
          </w:tblCellMar>
        </w:tblPrEx>
        <w:trPr>
          <w:gridAfter w:val="6"/>
          <w:wAfter w:w="528" w:type="dxa"/>
          <w:trHeight w:val="277" w:hRule="atLeast"/>
        </w:trPr>
        <w:tc>
          <w:tcPr>
            <w:tcW w:w="185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985"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6"/>
          <w:wAfter w:w="528" w:type="dxa"/>
          <w:trHeight w:val="286" w:hRule="atLeast"/>
        </w:trPr>
        <w:tc>
          <w:tcPr>
            <w:tcW w:w="1858"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985"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《西域图书馆论坛》《学会通讯》咨询研究参考》图书馆出版图书刊物等印刷费用</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10万元</w:t>
            </w:r>
          </w:p>
        </w:tc>
      </w:tr>
      <w:tr>
        <w:tblPrEx>
          <w:tblLayout w:type="fixed"/>
          <w:tblCellMar>
            <w:top w:w="0" w:type="dxa"/>
            <w:left w:w="108" w:type="dxa"/>
            <w:bottom w:w="0" w:type="dxa"/>
            <w:right w:w="108" w:type="dxa"/>
          </w:tblCellMar>
        </w:tblPrEx>
        <w:trPr>
          <w:gridAfter w:val="6"/>
          <w:wAfter w:w="528" w:type="dxa"/>
          <w:trHeight w:val="235"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保障场馆物业管理费</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25万元</w:t>
            </w:r>
          </w:p>
        </w:tc>
      </w:tr>
      <w:tr>
        <w:tblPrEx>
          <w:tblLayout w:type="fixed"/>
          <w:tblCellMar>
            <w:top w:w="0" w:type="dxa"/>
            <w:left w:w="108" w:type="dxa"/>
            <w:bottom w:w="0" w:type="dxa"/>
            <w:right w:w="108" w:type="dxa"/>
          </w:tblCellMar>
        </w:tblPrEx>
        <w:trPr>
          <w:gridAfter w:val="6"/>
          <w:wAfter w:w="528" w:type="dxa"/>
          <w:trHeight w:val="210"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场馆运行水电暖气费</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105万元</w:t>
            </w:r>
          </w:p>
        </w:tc>
      </w:tr>
      <w:tr>
        <w:tblPrEx>
          <w:tblLayout w:type="fixed"/>
          <w:tblCellMar>
            <w:top w:w="0" w:type="dxa"/>
            <w:left w:w="108" w:type="dxa"/>
            <w:bottom w:w="0" w:type="dxa"/>
            <w:right w:w="108" w:type="dxa"/>
          </w:tblCellMar>
        </w:tblPrEx>
        <w:trPr>
          <w:gridAfter w:val="6"/>
          <w:wAfter w:w="528" w:type="dxa"/>
          <w:trHeight w:val="302"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车辆维护、保养、保险、油费等</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15万元</w:t>
            </w:r>
          </w:p>
        </w:tc>
      </w:tr>
      <w:tr>
        <w:tblPrEx>
          <w:tblLayout w:type="fixed"/>
          <w:tblCellMar>
            <w:top w:w="0" w:type="dxa"/>
            <w:left w:w="108" w:type="dxa"/>
            <w:bottom w:w="0" w:type="dxa"/>
            <w:right w:w="108" w:type="dxa"/>
          </w:tblCellMar>
        </w:tblPrEx>
        <w:trPr>
          <w:gridAfter w:val="6"/>
          <w:wAfter w:w="528" w:type="dxa"/>
          <w:trHeight w:val="265"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除公务用车以外的公务交通补贴</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5万元</w:t>
            </w:r>
          </w:p>
        </w:tc>
      </w:tr>
      <w:tr>
        <w:tblPrEx>
          <w:tblLayout w:type="fixed"/>
          <w:tblCellMar>
            <w:top w:w="0" w:type="dxa"/>
            <w:left w:w="108" w:type="dxa"/>
            <w:bottom w:w="0" w:type="dxa"/>
            <w:right w:w="108" w:type="dxa"/>
          </w:tblCellMar>
        </w:tblPrEx>
        <w:trPr>
          <w:gridAfter w:val="6"/>
          <w:wAfter w:w="528" w:type="dxa"/>
          <w:trHeight w:val="181"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电话费、邮寄费</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5万元</w:t>
            </w:r>
          </w:p>
        </w:tc>
      </w:tr>
      <w:tr>
        <w:tblPrEx>
          <w:tblLayout w:type="fixed"/>
          <w:tblCellMar>
            <w:top w:w="0" w:type="dxa"/>
            <w:left w:w="108" w:type="dxa"/>
            <w:bottom w:w="0" w:type="dxa"/>
            <w:right w:w="108" w:type="dxa"/>
          </w:tblCellMar>
        </w:tblPrEx>
        <w:trPr>
          <w:gridAfter w:val="6"/>
          <w:wAfter w:w="528" w:type="dxa"/>
          <w:trHeight w:val="360"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各部门及公共服务区域办公用品及耗材</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25万元</w:t>
            </w:r>
          </w:p>
        </w:tc>
      </w:tr>
      <w:tr>
        <w:tblPrEx>
          <w:tblLayout w:type="fixed"/>
          <w:tblCellMar>
            <w:top w:w="0" w:type="dxa"/>
            <w:left w:w="108" w:type="dxa"/>
            <w:bottom w:w="0" w:type="dxa"/>
            <w:right w:w="108" w:type="dxa"/>
          </w:tblCellMar>
        </w:tblPrEx>
        <w:trPr>
          <w:gridAfter w:val="6"/>
          <w:wAfter w:w="528" w:type="dxa"/>
          <w:trHeight w:val="360"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劳务派遣人员工资、馆内审计及法律顾问等费用</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30万元</w:t>
            </w:r>
          </w:p>
        </w:tc>
      </w:tr>
      <w:tr>
        <w:tblPrEx>
          <w:tblLayout w:type="fixed"/>
          <w:tblCellMar>
            <w:top w:w="0" w:type="dxa"/>
            <w:left w:w="108" w:type="dxa"/>
            <w:bottom w:w="0" w:type="dxa"/>
            <w:right w:w="108" w:type="dxa"/>
          </w:tblCellMar>
        </w:tblPrEx>
        <w:trPr>
          <w:gridAfter w:val="6"/>
          <w:wAfter w:w="528" w:type="dxa"/>
          <w:trHeight w:val="360"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培训及出差期间差旅费、住宿费</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25万元</w:t>
            </w:r>
          </w:p>
        </w:tc>
      </w:tr>
      <w:tr>
        <w:tblPrEx>
          <w:tblLayout w:type="fixed"/>
          <w:tblCellMar>
            <w:top w:w="0" w:type="dxa"/>
            <w:left w:w="108" w:type="dxa"/>
            <w:bottom w:w="0" w:type="dxa"/>
            <w:right w:w="108" w:type="dxa"/>
          </w:tblCellMar>
        </w:tblPrEx>
        <w:trPr>
          <w:gridAfter w:val="6"/>
          <w:wAfter w:w="528" w:type="dxa"/>
          <w:trHeight w:val="360"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全馆耗材费用、软件正版化费用、信息检索费用等</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40万元</w:t>
            </w:r>
          </w:p>
        </w:tc>
      </w:tr>
      <w:tr>
        <w:tblPrEx>
          <w:tblLayout w:type="fixed"/>
          <w:tblCellMar>
            <w:top w:w="0" w:type="dxa"/>
            <w:left w:w="108" w:type="dxa"/>
            <w:bottom w:w="0" w:type="dxa"/>
            <w:right w:w="108" w:type="dxa"/>
          </w:tblCellMar>
        </w:tblPrEx>
        <w:trPr>
          <w:gridAfter w:val="6"/>
          <w:wAfter w:w="528" w:type="dxa"/>
          <w:trHeight w:val="220"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设施设备维修维护费</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15万元</w:t>
            </w:r>
          </w:p>
        </w:tc>
      </w:tr>
      <w:tr>
        <w:tblPrEx>
          <w:tblLayout w:type="fixed"/>
          <w:tblCellMar>
            <w:top w:w="0" w:type="dxa"/>
            <w:left w:w="108" w:type="dxa"/>
            <w:bottom w:w="0" w:type="dxa"/>
            <w:right w:w="108" w:type="dxa"/>
          </w:tblCellMar>
        </w:tblPrEx>
        <w:trPr>
          <w:gridAfter w:val="6"/>
          <w:wAfter w:w="528" w:type="dxa"/>
          <w:trHeight w:val="192"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图书购置成本</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320万元</w:t>
            </w:r>
          </w:p>
        </w:tc>
      </w:tr>
      <w:tr>
        <w:tblPrEx>
          <w:tblLayout w:type="fixed"/>
          <w:tblCellMar>
            <w:top w:w="0" w:type="dxa"/>
            <w:left w:w="108" w:type="dxa"/>
            <w:bottom w:w="0" w:type="dxa"/>
            <w:right w:w="108" w:type="dxa"/>
          </w:tblCellMar>
        </w:tblPrEx>
        <w:trPr>
          <w:gridAfter w:val="6"/>
          <w:wAfter w:w="528" w:type="dxa"/>
          <w:trHeight w:val="277"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场馆运行面积</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56000平方米</w:t>
            </w:r>
          </w:p>
        </w:tc>
      </w:tr>
      <w:tr>
        <w:tblPrEx>
          <w:tblLayout w:type="fixed"/>
          <w:tblCellMar>
            <w:top w:w="0" w:type="dxa"/>
            <w:left w:w="108" w:type="dxa"/>
            <w:bottom w:w="0" w:type="dxa"/>
            <w:right w:w="108" w:type="dxa"/>
          </w:tblCellMar>
        </w:tblPrEx>
        <w:trPr>
          <w:gridAfter w:val="6"/>
          <w:wAfter w:w="528" w:type="dxa"/>
          <w:trHeight w:val="258"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购置图书报刊种类</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≥15000种</w:t>
            </w:r>
          </w:p>
        </w:tc>
      </w:tr>
      <w:tr>
        <w:tblPrEx>
          <w:tblLayout w:type="fixed"/>
          <w:tblCellMar>
            <w:top w:w="0" w:type="dxa"/>
            <w:left w:w="108" w:type="dxa"/>
            <w:bottom w:w="0" w:type="dxa"/>
            <w:right w:w="108" w:type="dxa"/>
          </w:tblCellMar>
        </w:tblPrEx>
        <w:trPr>
          <w:gridAfter w:val="6"/>
          <w:wAfter w:w="528" w:type="dxa"/>
          <w:trHeight w:val="201"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保证场馆正常运行</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6"/>
          <w:wAfter w:w="528" w:type="dxa"/>
          <w:trHeight w:val="360" w:hRule="atLeast"/>
        </w:trPr>
        <w:tc>
          <w:tcPr>
            <w:tcW w:w="1858"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985"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群众文化生活的不断丰富，能更好保障业务、提升服务</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符合</w:t>
            </w:r>
          </w:p>
        </w:tc>
      </w:tr>
      <w:tr>
        <w:tblPrEx>
          <w:tblLayout w:type="fixed"/>
          <w:tblCellMar>
            <w:top w:w="0" w:type="dxa"/>
            <w:left w:w="108" w:type="dxa"/>
            <w:bottom w:w="0" w:type="dxa"/>
            <w:right w:w="108" w:type="dxa"/>
          </w:tblCellMar>
        </w:tblPrEx>
        <w:trPr>
          <w:gridAfter w:val="6"/>
          <w:wAfter w:w="528" w:type="dxa"/>
          <w:trHeight w:val="360"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985"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营造和谐向上的人文环境和崇尚知识的理性氛围</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有所提升</w:t>
            </w:r>
          </w:p>
        </w:tc>
      </w:tr>
      <w:tr>
        <w:tblPrEx>
          <w:tblLayout w:type="fixed"/>
          <w:tblCellMar>
            <w:top w:w="0" w:type="dxa"/>
            <w:left w:w="108" w:type="dxa"/>
            <w:bottom w:w="0" w:type="dxa"/>
            <w:right w:w="108" w:type="dxa"/>
          </w:tblCellMar>
        </w:tblPrEx>
        <w:trPr>
          <w:gridAfter w:val="6"/>
          <w:wAfter w:w="528" w:type="dxa"/>
          <w:trHeight w:val="360" w:hRule="atLeast"/>
        </w:trPr>
        <w:tc>
          <w:tcPr>
            <w:tcW w:w="185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985"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804" w:type="dxa"/>
            <w:gridSpan w:val="5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读者、用户阅览参观满意度</w:t>
            </w:r>
          </w:p>
        </w:tc>
        <w:tc>
          <w:tcPr>
            <w:tcW w:w="299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0"/>
          <w:wAfter w:w="972" w:type="dxa"/>
          <w:trHeight w:val="360" w:hRule="atLeast"/>
        </w:trPr>
        <w:tc>
          <w:tcPr>
            <w:tcW w:w="13193" w:type="dxa"/>
            <w:gridSpan w:val="96"/>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0"/>
          <w:wAfter w:w="972" w:type="dxa"/>
          <w:trHeight w:val="80" w:hRule="atLeast"/>
        </w:trPr>
        <w:tc>
          <w:tcPr>
            <w:tcW w:w="1858" w:type="dxa"/>
            <w:gridSpan w:val="6"/>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040"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080" w:type="dxa"/>
            <w:gridSpan w:val="10"/>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531" w:type="dxa"/>
            <w:gridSpan w:val="12"/>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432"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382" w:type="dxa"/>
            <w:gridSpan w:val="14"/>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482"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22"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505" w:type="dxa"/>
            <w:gridSpan w:val="22"/>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791"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870" w:type="dxa"/>
            <w:gridSpan w:val="9"/>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0"/>
          <w:wAfter w:w="972" w:type="dxa"/>
          <w:trHeight w:val="419" w:hRule="atLeast"/>
        </w:trPr>
        <w:tc>
          <w:tcPr>
            <w:tcW w:w="18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465"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新疆维吾尔自治区文化馆</w:t>
            </w:r>
          </w:p>
        </w:tc>
        <w:tc>
          <w:tcPr>
            <w:tcW w:w="129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580"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免费开放运行保障费</w:t>
            </w:r>
          </w:p>
        </w:tc>
      </w:tr>
      <w:tr>
        <w:tblPrEx>
          <w:tblLayout w:type="fixed"/>
          <w:tblCellMar>
            <w:top w:w="0" w:type="dxa"/>
            <w:left w:w="108" w:type="dxa"/>
            <w:bottom w:w="0" w:type="dxa"/>
            <w:right w:w="108" w:type="dxa"/>
          </w:tblCellMar>
        </w:tblPrEx>
        <w:trPr>
          <w:gridAfter w:val="10"/>
          <w:wAfter w:w="972" w:type="dxa"/>
          <w:trHeight w:val="425" w:hRule="atLeast"/>
        </w:trPr>
        <w:tc>
          <w:tcPr>
            <w:tcW w:w="185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120"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531"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2814" w:type="dxa"/>
            <w:gridSpan w:val="1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623" w:type="dxa"/>
            <w:gridSpan w:val="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2586"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661"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0"/>
          <w:wAfter w:w="972" w:type="dxa"/>
          <w:trHeight w:val="478" w:hRule="atLeast"/>
        </w:trPr>
        <w:tc>
          <w:tcPr>
            <w:tcW w:w="185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335" w:type="dxa"/>
            <w:gridSpan w:val="9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免费开放运行保障经费是重要的文化惠民工程，也是提升全疆各族群众文化素质的重大举措有了资金保障就能扎扎实实的把“全民艺术普及”的好事办好。</w:t>
            </w:r>
          </w:p>
        </w:tc>
      </w:tr>
      <w:tr>
        <w:tblPrEx>
          <w:tblLayout w:type="fixed"/>
          <w:tblCellMar>
            <w:top w:w="0" w:type="dxa"/>
            <w:left w:w="108" w:type="dxa"/>
            <w:bottom w:w="0" w:type="dxa"/>
            <w:right w:w="108" w:type="dxa"/>
          </w:tblCellMar>
        </w:tblPrEx>
        <w:trPr>
          <w:gridAfter w:val="10"/>
          <w:wAfter w:w="972" w:type="dxa"/>
          <w:trHeight w:val="354" w:hRule="atLeast"/>
        </w:trPr>
        <w:tc>
          <w:tcPr>
            <w:tcW w:w="185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59"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0"/>
          <w:wAfter w:w="972" w:type="dxa"/>
          <w:trHeight w:val="402" w:hRule="atLeast"/>
        </w:trPr>
        <w:tc>
          <w:tcPr>
            <w:tcW w:w="1858"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59"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公共文化服务活动经费</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200万</w:t>
            </w:r>
          </w:p>
        </w:tc>
      </w:tr>
      <w:tr>
        <w:tblPrEx>
          <w:tblLayout w:type="fixed"/>
          <w:tblCellMar>
            <w:top w:w="0" w:type="dxa"/>
            <w:left w:w="108" w:type="dxa"/>
            <w:bottom w:w="0" w:type="dxa"/>
            <w:right w:w="108" w:type="dxa"/>
          </w:tblCellMar>
        </w:tblPrEx>
        <w:trPr>
          <w:gridAfter w:val="10"/>
          <w:wAfter w:w="972" w:type="dxa"/>
          <w:trHeight w:val="396"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59"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公共文化服务活动完成时间</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2019年11月30日</w:t>
            </w:r>
          </w:p>
        </w:tc>
      </w:tr>
      <w:tr>
        <w:tblPrEx>
          <w:tblLayout w:type="fixed"/>
          <w:tblCellMar>
            <w:top w:w="0" w:type="dxa"/>
            <w:left w:w="108" w:type="dxa"/>
            <w:bottom w:w="0" w:type="dxa"/>
            <w:right w:w="108" w:type="dxa"/>
          </w:tblCellMar>
        </w:tblPrEx>
        <w:trPr>
          <w:gridAfter w:val="10"/>
          <w:wAfter w:w="972" w:type="dxa"/>
          <w:trHeight w:val="234"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59" w:type="dxa"/>
            <w:gridSpan w:val="8"/>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大型活动数量</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≥2项</w:t>
            </w:r>
          </w:p>
        </w:tc>
      </w:tr>
      <w:tr>
        <w:tblPrEx>
          <w:tblLayout w:type="fixed"/>
          <w:tblCellMar>
            <w:top w:w="0" w:type="dxa"/>
            <w:left w:w="108" w:type="dxa"/>
            <w:bottom w:w="0" w:type="dxa"/>
            <w:right w:w="108" w:type="dxa"/>
          </w:tblCellMar>
        </w:tblPrEx>
        <w:trPr>
          <w:gridAfter w:val="10"/>
          <w:wAfter w:w="972" w:type="dxa"/>
          <w:trHeight w:val="422"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59"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辅导活动数量</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≥8期</w:t>
            </w:r>
          </w:p>
        </w:tc>
      </w:tr>
      <w:tr>
        <w:tblPrEx>
          <w:tblLayout w:type="fixed"/>
          <w:tblCellMar>
            <w:top w:w="0" w:type="dxa"/>
            <w:left w:w="108" w:type="dxa"/>
            <w:bottom w:w="0" w:type="dxa"/>
            <w:right w:w="108" w:type="dxa"/>
          </w:tblCellMar>
        </w:tblPrEx>
        <w:trPr>
          <w:gridAfter w:val="10"/>
          <w:wAfter w:w="972" w:type="dxa"/>
          <w:trHeight w:val="415"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59"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培训数量</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≥10期</w:t>
            </w:r>
          </w:p>
        </w:tc>
      </w:tr>
      <w:tr>
        <w:tblPrEx>
          <w:tblLayout w:type="fixed"/>
          <w:tblCellMar>
            <w:top w:w="0" w:type="dxa"/>
            <w:left w:w="108" w:type="dxa"/>
            <w:bottom w:w="0" w:type="dxa"/>
            <w:right w:w="108" w:type="dxa"/>
          </w:tblCellMar>
        </w:tblPrEx>
        <w:trPr>
          <w:gridAfter w:val="10"/>
          <w:wAfter w:w="972" w:type="dxa"/>
          <w:trHeight w:val="322"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59"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一般群众活动数量</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≥4项</w:t>
            </w:r>
          </w:p>
        </w:tc>
      </w:tr>
      <w:tr>
        <w:tblPrEx>
          <w:tblLayout w:type="fixed"/>
          <w:tblCellMar>
            <w:top w:w="0" w:type="dxa"/>
            <w:left w:w="108" w:type="dxa"/>
            <w:bottom w:w="0" w:type="dxa"/>
            <w:right w:w="108" w:type="dxa"/>
          </w:tblCellMar>
        </w:tblPrEx>
        <w:trPr>
          <w:gridAfter w:val="10"/>
          <w:wAfter w:w="972" w:type="dxa"/>
          <w:trHeight w:val="559"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59"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展览活动数量</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≥5次</w:t>
            </w:r>
          </w:p>
        </w:tc>
      </w:tr>
      <w:tr>
        <w:tblPrEx>
          <w:tblLayout w:type="fixed"/>
          <w:tblCellMar>
            <w:top w:w="0" w:type="dxa"/>
            <w:left w:w="108" w:type="dxa"/>
            <w:bottom w:w="0" w:type="dxa"/>
            <w:right w:w="108" w:type="dxa"/>
          </w:tblCellMar>
        </w:tblPrEx>
        <w:trPr>
          <w:gridAfter w:val="10"/>
          <w:wAfter w:w="972" w:type="dxa"/>
          <w:trHeight w:val="269"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59"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公共文化服务活动完成率</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r>
      <w:tr>
        <w:tblPrEx>
          <w:tblLayout w:type="fixed"/>
          <w:tblCellMar>
            <w:top w:w="0" w:type="dxa"/>
            <w:left w:w="108" w:type="dxa"/>
            <w:bottom w:w="0" w:type="dxa"/>
            <w:right w:w="108" w:type="dxa"/>
          </w:tblCellMar>
        </w:tblPrEx>
        <w:trPr>
          <w:gridAfter w:val="10"/>
          <w:wAfter w:w="972" w:type="dxa"/>
          <w:trHeight w:val="514" w:hRule="atLeast"/>
        </w:trPr>
        <w:tc>
          <w:tcPr>
            <w:tcW w:w="1858"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59"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逐步建立公共文化服务体系</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培训基层文艺骨干,宣传推广中华优秀传统文化</w:t>
            </w:r>
          </w:p>
        </w:tc>
      </w:tr>
      <w:tr>
        <w:tblPrEx>
          <w:tblLayout w:type="fixed"/>
          <w:tblCellMar>
            <w:top w:w="0" w:type="dxa"/>
            <w:left w:w="108" w:type="dxa"/>
            <w:bottom w:w="0" w:type="dxa"/>
            <w:right w:w="108" w:type="dxa"/>
          </w:tblCellMar>
        </w:tblPrEx>
        <w:trPr>
          <w:gridAfter w:val="10"/>
          <w:wAfter w:w="972" w:type="dxa"/>
          <w:trHeight w:val="452" w:hRule="atLeast"/>
        </w:trPr>
        <w:tc>
          <w:tcPr>
            <w:tcW w:w="185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59"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全民艺术普及的工作做好</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受益人群增加，满足人民群众日益增长的精神文化需求</w:t>
            </w:r>
          </w:p>
        </w:tc>
      </w:tr>
      <w:tr>
        <w:tblPrEx>
          <w:tblLayout w:type="fixed"/>
          <w:tblCellMar>
            <w:top w:w="0" w:type="dxa"/>
            <w:left w:w="108" w:type="dxa"/>
            <w:bottom w:w="0" w:type="dxa"/>
            <w:right w:w="108" w:type="dxa"/>
          </w:tblCellMar>
        </w:tblPrEx>
        <w:trPr>
          <w:gridAfter w:val="10"/>
          <w:wAfter w:w="972" w:type="dxa"/>
          <w:trHeight w:val="559" w:hRule="atLeast"/>
        </w:trPr>
        <w:tc>
          <w:tcPr>
            <w:tcW w:w="185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59"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61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公众满意度</w:t>
            </w:r>
          </w:p>
        </w:tc>
        <w:tc>
          <w:tcPr>
            <w:tcW w:w="4166"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r>
      <w:tr>
        <w:tblPrEx>
          <w:tblLayout w:type="fixed"/>
          <w:tblCellMar>
            <w:top w:w="0" w:type="dxa"/>
            <w:left w:w="108" w:type="dxa"/>
            <w:bottom w:w="0" w:type="dxa"/>
            <w:right w:w="108" w:type="dxa"/>
          </w:tblCellMar>
        </w:tblPrEx>
        <w:trPr>
          <w:gridAfter w:val="10"/>
          <w:wAfter w:w="972" w:type="dxa"/>
          <w:trHeight w:val="360" w:hRule="atLeast"/>
        </w:trPr>
        <w:tc>
          <w:tcPr>
            <w:tcW w:w="13193" w:type="dxa"/>
            <w:gridSpan w:val="96"/>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932"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新疆文化艺术学校</w:t>
            </w:r>
          </w:p>
        </w:tc>
        <w:tc>
          <w:tcPr>
            <w:tcW w:w="1031"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500" w:type="dxa"/>
            <w:gridSpan w:val="3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中等职业学校国家免学费</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112"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79"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9.46</w:t>
            </w:r>
          </w:p>
        </w:tc>
        <w:tc>
          <w:tcPr>
            <w:tcW w:w="1641"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031"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9.46</w:t>
            </w:r>
          </w:p>
        </w:tc>
        <w:tc>
          <w:tcPr>
            <w:tcW w:w="1946" w:type="dxa"/>
            <w:gridSpan w:val="1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54"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0"/>
          <w:wAfter w:w="972" w:type="dxa"/>
          <w:trHeight w:val="592" w:hRule="atLeast"/>
        </w:trPr>
        <w:tc>
          <w:tcPr>
            <w:tcW w:w="173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463" w:type="dxa"/>
            <w:gridSpan w:val="9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减轻家庭经济困难学生的生活负担，帮助学生顺利完成学业，受助学生满意度大于等于90%。</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032"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032"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资金按期使用率</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32"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应受助学生数</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在学校生总人数622人</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32"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建档立卡家庭经济困难学生免学费比率</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32"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南疆四地州学生免学费比例</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32"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资金足额到位率</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032"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家庭经济困难学生的生活负担</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有效减轻</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032"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家长满意度</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0"/>
          <w:wAfter w:w="972" w:type="dxa"/>
          <w:trHeight w:val="600" w:hRule="atLeast"/>
        </w:trPr>
        <w:tc>
          <w:tcPr>
            <w:tcW w:w="1730"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32"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53"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学生满意度</w:t>
            </w:r>
          </w:p>
        </w:tc>
        <w:tc>
          <w:tcPr>
            <w:tcW w:w="3278"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6"/>
          <w:wAfter w:w="1447" w:type="dxa"/>
          <w:trHeight w:val="574" w:hRule="atLeast"/>
        </w:trPr>
        <w:tc>
          <w:tcPr>
            <w:tcW w:w="12718" w:type="dxa"/>
            <w:gridSpan w:val="90"/>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trHeight w:val="419" w:hRule="atLeast"/>
        </w:trPr>
        <w:tc>
          <w:tcPr>
            <w:tcW w:w="173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7192"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新疆文化艺术学校</w:t>
            </w:r>
          </w:p>
        </w:tc>
        <w:tc>
          <w:tcPr>
            <w:tcW w:w="1718" w:type="dxa"/>
            <w:gridSpan w:val="1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522" w:type="dxa"/>
            <w:gridSpan w:val="3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自治区职业教育专项资金</w:t>
            </w:r>
          </w:p>
        </w:tc>
      </w:tr>
      <w:tr>
        <w:tblPrEx>
          <w:tblLayout w:type="fixed"/>
          <w:tblCellMar>
            <w:top w:w="0" w:type="dxa"/>
            <w:left w:w="108" w:type="dxa"/>
            <w:bottom w:w="0" w:type="dxa"/>
            <w:right w:w="108" w:type="dxa"/>
          </w:tblCellMar>
        </w:tblPrEx>
        <w:trPr>
          <w:trHeight w:val="600" w:hRule="atLeast"/>
        </w:trPr>
        <w:tc>
          <w:tcPr>
            <w:tcW w:w="1733"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872"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227" w:type="dxa"/>
            <w:gridSpan w:val="10"/>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47.96</w:t>
            </w:r>
          </w:p>
        </w:tc>
        <w:tc>
          <w:tcPr>
            <w:tcW w:w="3093" w:type="dxa"/>
            <w:gridSpan w:val="2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718" w:type="dxa"/>
            <w:gridSpan w:val="1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47.96</w:t>
            </w:r>
          </w:p>
        </w:tc>
        <w:tc>
          <w:tcPr>
            <w:tcW w:w="2301"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221"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trHeight w:val="620" w:hRule="atLeast"/>
        </w:trPr>
        <w:tc>
          <w:tcPr>
            <w:tcW w:w="1733"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432" w:type="dxa"/>
            <w:gridSpan w:val="10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预计资助学生300余人，投入资金47.96万元，其中全部为自治区资金，减轻家庭经济困难学生的生活负担，帮助学生顺利完成学业，受助学生满意度大于等于90%。</w:t>
            </w:r>
          </w:p>
        </w:tc>
      </w:tr>
      <w:tr>
        <w:tblPrEx>
          <w:tblLayout w:type="fixed"/>
          <w:tblCellMar>
            <w:top w:w="0" w:type="dxa"/>
            <w:left w:w="108" w:type="dxa"/>
            <w:bottom w:w="0" w:type="dxa"/>
            <w:right w:w="108" w:type="dxa"/>
          </w:tblCellMar>
        </w:tblPrEx>
        <w:trPr>
          <w:trHeight w:val="499" w:hRule="atLeast"/>
        </w:trPr>
        <w:tc>
          <w:tcPr>
            <w:tcW w:w="1733"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756"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374" w:hRule="atLeast"/>
        </w:trPr>
        <w:tc>
          <w:tcPr>
            <w:tcW w:w="1733"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756"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资金按期发放率</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trHeight w:val="499"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免住宿教材应受助学生数</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300人</w:t>
            </w:r>
          </w:p>
        </w:tc>
      </w:tr>
      <w:tr>
        <w:tblPrEx>
          <w:tblLayout w:type="fixed"/>
          <w:tblCellMar>
            <w:top w:w="0" w:type="dxa"/>
            <w:left w:w="108" w:type="dxa"/>
            <w:bottom w:w="0" w:type="dxa"/>
            <w:right w:w="108" w:type="dxa"/>
          </w:tblCellMar>
        </w:tblPrEx>
        <w:trPr>
          <w:trHeight w:val="316"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应受助学生数</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300人</w:t>
            </w:r>
          </w:p>
        </w:tc>
      </w:tr>
      <w:tr>
        <w:tblPrEx>
          <w:tblLayout w:type="fixed"/>
          <w:tblCellMar>
            <w:top w:w="0" w:type="dxa"/>
            <w:left w:w="108" w:type="dxa"/>
            <w:bottom w:w="0" w:type="dxa"/>
            <w:right w:w="108" w:type="dxa"/>
          </w:tblCellMar>
        </w:tblPrEx>
        <w:trPr>
          <w:trHeight w:val="499"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助学金受助学生数</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135人</w:t>
            </w:r>
          </w:p>
        </w:tc>
      </w:tr>
      <w:tr>
        <w:tblPrEx>
          <w:tblLayout w:type="fixed"/>
          <w:tblCellMar>
            <w:top w:w="0" w:type="dxa"/>
            <w:left w:w="108" w:type="dxa"/>
            <w:bottom w:w="0" w:type="dxa"/>
            <w:right w:w="108" w:type="dxa"/>
          </w:tblCellMar>
        </w:tblPrEx>
        <w:trPr>
          <w:trHeight w:val="430"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建档立卡学生免住宿教材费覆盖率</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trHeight w:val="499"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南疆四地州免住宿教材覆盖率</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trHeight w:val="261"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助学金覆盖率</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trHeight w:val="499" w:hRule="atLeast"/>
        </w:trPr>
        <w:tc>
          <w:tcPr>
            <w:tcW w:w="1733"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756"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职业学校教育教学改革和专业建设</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稳步增长</w:t>
            </w:r>
          </w:p>
        </w:tc>
      </w:tr>
      <w:tr>
        <w:tblPrEx>
          <w:tblLayout w:type="fixed"/>
          <w:tblCellMar>
            <w:top w:w="0" w:type="dxa"/>
            <w:left w:w="108" w:type="dxa"/>
            <w:bottom w:w="0" w:type="dxa"/>
            <w:right w:w="108" w:type="dxa"/>
          </w:tblCellMar>
        </w:tblPrEx>
        <w:trPr>
          <w:trHeight w:val="374"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家庭经济困难学生的生活负担</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有效减轻</w:t>
            </w:r>
          </w:p>
        </w:tc>
      </w:tr>
      <w:tr>
        <w:tblPrEx>
          <w:tblLayout w:type="fixed"/>
          <w:tblCellMar>
            <w:top w:w="0" w:type="dxa"/>
            <w:left w:w="108" w:type="dxa"/>
            <w:bottom w:w="0" w:type="dxa"/>
            <w:right w:w="108" w:type="dxa"/>
          </w:tblCellMar>
        </w:tblPrEx>
        <w:trPr>
          <w:trHeight w:val="310"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提升办学质量和办学吸引力</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稳步增长</w:t>
            </w:r>
          </w:p>
        </w:tc>
      </w:tr>
      <w:tr>
        <w:tblPrEx>
          <w:tblLayout w:type="fixed"/>
          <w:tblCellMar>
            <w:top w:w="0" w:type="dxa"/>
            <w:left w:w="108" w:type="dxa"/>
            <w:bottom w:w="0" w:type="dxa"/>
            <w:right w:w="108" w:type="dxa"/>
          </w:tblCellMar>
        </w:tblPrEx>
        <w:trPr>
          <w:trHeight w:val="499" w:hRule="atLeast"/>
        </w:trPr>
        <w:tc>
          <w:tcPr>
            <w:tcW w:w="1733"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756"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家长满意度</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499" w:hRule="atLeast"/>
        </w:trPr>
        <w:tc>
          <w:tcPr>
            <w:tcW w:w="1733"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376"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学生满意度</w:t>
            </w:r>
          </w:p>
        </w:tc>
        <w:tc>
          <w:tcPr>
            <w:tcW w:w="3300"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8"/>
          <w:wAfter w:w="561" w:type="dxa"/>
          <w:trHeight w:val="360" w:hRule="atLeast"/>
        </w:trPr>
        <w:tc>
          <w:tcPr>
            <w:tcW w:w="13604" w:type="dxa"/>
            <w:gridSpan w:val="9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8"/>
          <w:wAfter w:w="561" w:type="dxa"/>
          <w:trHeight w:val="360" w:hRule="atLeast"/>
        </w:trPr>
        <w:tc>
          <w:tcPr>
            <w:tcW w:w="1517" w:type="dxa"/>
            <w:gridSpan w:val="2"/>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756" w:type="dxa"/>
            <w:gridSpan w:val="11"/>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116" w:type="dxa"/>
            <w:gridSpan w:val="1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875" w:type="dxa"/>
            <w:gridSpan w:val="1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477" w:type="dxa"/>
            <w:gridSpan w:val="2"/>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105" w:type="dxa"/>
            <w:gridSpan w:val="7"/>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308" w:type="dxa"/>
            <w:gridSpan w:val="1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273" w:type="dxa"/>
            <w:gridSpan w:val="10"/>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785" w:type="dxa"/>
            <w:gridSpan w:val="14"/>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170" w:type="dxa"/>
            <w:gridSpan w:val="12"/>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22" w:type="dxa"/>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8"/>
          <w:wAfter w:w="561" w:type="dxa"/>
          <w:trHeight w:val="600" w:hRule="atLeast"/>
        </w:trPr>
        <w:tc>
          <w:tcPr>
            <w:tcW w:w="1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32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新疆画院</w:t>
            </w:r>
          </w:p>
        </w:tc>
        <w:tc>
          <w:tcPr>
            <w:tcW w:w="1308"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450"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新疆画院创作经费</w:t>
            </w:r>
          </w:p>
        </w:tc>
      </w:tr>
      <w:tr>
        <w:tblPrEx>
          <w:tblLayout w:type="fixed"/>
          <w:tblCellMar>
            <w:top w:w="0" w:type="dxa"/>
            <w:left w:w="108" w:type="dxa"/>
            <w:bottom w:w="0" w:type="dxa"/>
            <w:right w:w="108" w:type="dxa"/>
          </w:tblCellMar>
        </w:tblPrEx>
        <w:trPr>
          <w:gridAfter w:val="8"/>
          <w:wAfter w:w="561" w:type="dxa"/>
          <w:trHeight w:val="600" w:hRule="atLeast"/>
        </w:trPr>
        <w:tc>
          <w:tcPr>
            <w:tcW w:w="1517"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872"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227" w:type="dxa"/>
            <w:gridSpan w:val="9"/>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230"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308"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2325"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125" w:type="dxa"/>
            <w:gridSpan w:val="1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8"/>
          <w:wAfter w:w="561" w:type="dxa"/>
          <w:trHeight w:val="1350" w:hRule="atLeast"/>
        </w:trPr>
        <w:tc>
          <w:tcPr>
            <w:tcW w:w="1517"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087" w:type="dxa"/>
            <w:gridSpan w:val="9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1、新疆画院要在十月份举办庆祝中华人民共和国成立七十周年美术作品大展</w:t>
            </w:r>
            <w:r>
              <w:rPr>
                <w:rFonts w:hint="eastAsia" w:ascii="宋体" w:hAnsi="宋体" w:cs="宋体"/>
                <w:kern w:val="0"/>
                <w:sz w:val="18"/>
                <w:szCs w:val="18"/>
              </w:rPr>
              <w:br w:type="textWrapping"/>
            </w:r>
            <w:r>
              <w:rPr>
                <w:rFonts w:hint="eastAsia" w:ascii="宋体" w:hAnsi="宋体" w:cs="宋体"/>
                <w:kern w:val="0"/>
                <w:sz w:val="18"/>
                <w:szCs w:val="18"/>
              </w:rPr>
              <w:t>2、积极筹备参加“西北五省画院巡展”</w:t>
            </w:r>
            <w:r>
              <w:rPr>
                <w:rFonts w:hint="eastAsia" w:ascii="宋体" w:hAnsi="宋体" w:cs="宋体"/>
                <w:kern w:val="0"/>
                <w:sz w:val="18"/>
                <w:szCs w:val="18"/>
              </w:rPr>
              <w:br w:type="textWrapping"/>
            </w:r>
            <w:r>
              <w:rPr>
                <w:rFonts w:hint="eastAsia" w:ascii="宋体" w:hAnsi="宋体" w:cs="宋体"/>
                <w:kern w:val="0"/>
                <w:sz w:val="18"/>
                <w:szCs w:val="18"/>
              </w:rPr>
              <w:t>3、全力支持画院画家创作13届美展作品，争取人选获奖</w:t>
            </w:r>
            <w:r>
              <w:rPr>
                <w:rFonts w:hint="eastAsia" w:ascii="宋体" w:hAnsi="宋体" w:cs="宋体"/>
                <w:kern w:val="0"/>
                <w:sz w:val="18"/>
                <w:szCs w:val="18"/>
              </w:rPr>
              <w:br w:type="textWrapping"/>
            </w:r>
            <w:r>
              <w:rPr>
                <w:rFonts w:hint="eastAsia" w:ascii="宋体" w:hAnsi="宋体" w:cs="宋体"/>
                <w:kern w:val="0"/>
                <w:sz w:val="18"/>
                <w:szCs w:val="18"/>
              </w:rPr>
              <w:t>4、组织好画家深入生活写生活动，并在北疆进行巡展</w:t>
            </w:r>
          </w:p>
        </w:tc>
      </w:tr>
      <w:tr>
        <w:tblPrEx>
          <w:tblLayout w:type="fixed"/>
          <w:tblCellMar>
            <w:top w:w="0" w:type="dxa"/>
            <w:left w:w="108" w:type="dxa"/>
            <w:bottom w:w="0" w:type="dxa"/>
            <w:right w:w="108" w:type="dxa"/>
          </w:tblCellMar>
        </w:tblPrEx>
        <w:trPr>
          <w:gridAfter w:val="8"/>
          <w:wAfter w:w="561" w:type="dxa"/>
          <w:trHeight w:val="600" w:hRule="atLeast"/>
        </w:trPr>
        <w:tc>
          <w:tcPr>
            <w:tcW w:w="1517"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756"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7154"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17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8"/>
          <w:wAfter w:w="561" w:type="dxa"/>
          <w:trHeight w:val="492" w:hRule="atLeast"/>
        </w:trPr>
        <w:tc>
          <w:tcPr>
            <w:tcW w:w="151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756"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7154"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下乡写生创作食宿作品包装展览等费用</w:t>
            </w:r>
          </w:p>
        </w:tc>
        <w:tc>
          <w:tcPr>
            <w:tcW w:w="317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1.36万元/每幅</w:t>
            </w:r>
          </w:p>
        </w:tc>
      </w:tr>
      <w:tr>
        <w:tblPrEx>
          <w:tblLayout w:type="fixed"/>
          <w:tblCellMar>
            <w:top w:w="0" w:type="dxa"/>
            <w:left w:w="108" w:type="dxa"/>
            <w:bottom w:w="0" w:type="dxa"/>
            <w:right w:w="108" w:type="dxa"/>
          </w:tblCellMar>
        </w:tblPrEx>
        <w:trPr>
          <w:gridAfter w:val="8"/>
          <w:wAfter w:w="561" w:type="dxa"/>
          <w:trHeight w:val="444" w:hRule="atLeast"/>
        </w:trPr>
        <w:tc>
          <w:tcPr>
            <w:tcW w:w="1517"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7154"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完成创作时间</w:t>
            </w:r>
          </w:p>
        </w:tc>
        <w:tc>
          <w:tcPr>
            <w:tcW w:w="317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12个月</w:t>
            </w:r>
          </w:p>
        </w:tc>
      </w:tr>
      <w:tr>
        <w:tblPrEx>
          <w:tblLayout w:type="fixed"/>
          <w:tblCellMar>
            <w:top w:w="0" w:type="dxa"/>
            <w:left w:w="108" w:type="dxa"/>
            <w:bottom w:w="0" w:type="dxa"/>
            <w:right w:w="108" w:type="dxa"/>
          </w:tblCellMar>
        </w:tblPrEx>
        <w:trPr>
          <w:gridAfter w:val="8"/>
          <w:wAfter w:w="561" w:type="dxa"/>
          <w:trHeight w:val="600" w:hRule="atLeast"/>
        </w:trPr>
        <w:tc>
          <w:tcPr>
            <w:tcW w:w="1517"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7154"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创作出一片文化精品进行展览</w:t>
            </w:r>
          </w:p>
        </w:tc>
        <w:tc>
          <w:tcPr>
            <w:tcW w:w="317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80幅以上精品</w:t>
            </w:r>
          </w:p>
        </w:tc>
      </w:tr>
      <w:tr>
        <w:tblPrEx>
          <w:tblLayout w:type="fixed"/>
          <w:tblCellMar>
            <w:top w:w="0" w:type="dxa"/>
            <w:left w:w="108" w:type="dxa"/>
            <w:bottom w:w="0" w:type="dxa"/>
            <w:right w:w="108" w:type="dxa"/>
          </w:tblCellMar>
        </w:tblPrEx>
        <w:trPr>
          <w:gridAfter w:val="8"/>
          <w:wAfter w:w="561" w:type="dxa"/>
          <w:trHeight w:val="600" w:hRule="atLeast"/>
        </w:trPr>
        <w:tc>
          <w:tcPr>
            <w:tcW w:w="1517"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154"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创作完成作品</w:t>
            </w:r>
          </w:p>
        </w:tc>
        <w:tc>
          <w:tcPr>
            <w:tcW w:w="317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油画、国画约110幅</w:t>
            </w:r>
          </w:p>
        </w:tc>
      </w:tr>
      <w:tr>
        <w:tblPrEx>
          <w:tblLayout w:type="fixed"/>
          <w:tblCellMar>
            <w:top w:w="0" w:type="dxa"/>
            <w:left w:w="108" w:type="dxa"/>
            <w:bottom w:w="0" w:type="dxa"/>
            <w:right w:w="108" w:type="dxa"/>
          </w:tblCellMar>
        </w:tblPrEx>
        <w:trPr>
          <w:gridAfter w:val="8"/>
          <w:wAfter w:w="561" w:type="dxa"/>
          <w:trHeight w:val="600" w:hRule="atLeast"/>
        </w:trPr>
        <w:tc>
          <w:tcPr>
            <w:tcW w:w="1517"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756"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154"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画家赴地州写生采风资金保障</w:t>
            </w:r>
          </w:p>
        </w:tc>
        <w:tc>
          <w:tcPr>
            <w:tcW w:w="317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自治区财政资金落实15万元</w:t>
            </w:r>
          </w:p>
        </w:tc>
      </w:tr>
      <w:tr>
        <w:tblPrEx>
          <w:tblLayout w:type="fixed"/>
          <w:tblCellMar>
            <w:top w:w="0" w:type="dxa"/>
            <w:left w:w="108" w:type="dxa"/>
            <w:bottom w:w="0" w:type="dxa"/>
            <w:right w:w="108" w:type="dxa"/>
          </w:tblCellMar>
        </w:tblPrEx>
        <w:trPr>
          <w:gridAfter w:val="8"/>
          <w:wAfter w:w="561" w:type="dxa"/>
          <w:trHeight w:val="600" w:hRule="atLeast"/>
        </w:trPr>
        <w:tc>
          <w:tcPr>
            <w:tcW w:w="1517"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756"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7154"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画家创作能力逐年提高</w:t>
            </w:r>
          </w:p>
        </w:tc>
        <w:tc>
          <w:tcPr>
            <w:tcW w:w="317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提升80%</w:t>
            </w:r>
          </w:p>
        </w:tc>
      </w:tr>
      <w:tr>
        <w:tblPrEx>
          <w:tblLayout w:type="fixed"/>
          <w:tblCellMar>
            <w:top w:w="0" w:type="dxa"/>
            <w:left w:w="108" w:type="dxa"/>
            <w:bottom w:w="0" w:type="dxa"/>
            <w:right w:w="108" w:type="dxa"/>
          </w:tblCellMar>
        </w:tblPrEx>
        <w:trPr>
          <w:gridAfter w:val="8"/>
          <w:wAfter w:w="561" w:type="dxa"/>
          <w:trHeight w:val="600" w:hRule="atLeast"/>
        </w:trPr>
        <w:tc>
          <w:tcPr>
            <w:tcW w:w="1517"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756"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154"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社会满意度</w:t>
            </w:r>
          </w:p>
        </w:tc>
        <w:tc>
          <w:tcPr>
            <w:tcW w:w="317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群众满意度90%以上</w:t>
            </w:r>
          </w:p>
        </w:tc>
      </w:tr>
      <w:tr>
        <w:tblPrEx>
          <w:tblLayout w:type="fixed"/>
          <w:tblCellMar>
            <w:top w:w="0" w:type="dxa"/>
            <w:left w:w="108" w:type="dxa"/>
            <w:bottom w:w="0" w:type="dxa"/>
            <w:right w:w="108" w:type="dxa"/>
          </w:tblCellMar>
        </w:tblPrEx>
        <w:trPr>
          <w:gridAfter w:val="11"/>
          <w:wAfter w:w="1005" w:type="dxa"/>
          <w:trHeight w:val="360" w:hRule="atLeast"/>
        </w:trPr>
        <w:tc>
          <w:tcPr>
            <w:tcW w:w="13160" w:type="dxa"/>
            <w:gridSpan w:val="95"/>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1"/>
          <w:wAfter w:w="1005" w:type="dxa"/>
          <w:trHeight w:val="132" w:hRule="atLeast"/>
        </w:trPr>
        <w:tc>
          <w:tcPr>
            <w:tcW w:w="188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344" w:type="dxa"/>
            <w:gridSpan w:val="4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新疆维吾尔自治区文物局</w:t>
            </w:r>
          </w:p>
        </w:tc>
        <w:tc>
          <w:tcPr>
            <w:tcW w:w="997"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931"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丝绸之路新疆段重点文物保护项目运转经费</w:t>
            </w:r>
          </w:p>
        </w:tc>
      </w:tr>
      <w:tr>
        <w:tblPrEx>
          <w:tblLayout w:type="fixed"/>
          <w:tblCellMar>
            <w:top w:w="0" w:type="dxa"/>
            <w:left w:w="108" w:type="dxa"/>
            <w:bottom w:w="0" w:type="dxa"/>
            <w:right w:w="108" w:type="dxa"/>
          </w:tblCellMar>
        </w:tblPrEx>
        <w:trPr>
          <w:gridAfter w:val="11"/>
          <w:wAfter w:w="1005" w:type="dxa"/>
          <w:trHeight w:val="249" w:hRule="atLeast"/>
        </w:trPr>
        <w:tc>
          <w:tcPr>
            <w:tcW w:w="1888"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232"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405" w:type="dxa"/>
            <w:gridSpan w:val="10"/>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1707"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997"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30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882"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1"/>
          <w:wAfter w:w="1005" w:type="dxa"/>
          <w:trHeight w:val="485" w:hRule="atLeast"/>
        </w:trPr>
        <w:tc>
          <w:tcPr>
            <w:tcW w:w="1888"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272" w:type="dxa"/>
            <w:gridSpan w:val="8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做</w:t>
            </w:r>
            <w:r>
              <w:rPr>
                <w:rFonts w:hint="eastAsia" w:ascii="宋体" w:hAnsi="宋体" w:cs="宋体"/>
                <w:kern w:val="0"/>
                <w:sz w:val="15"/>
                <w:szCs w:val="15"/>
              </w:rPr>
              <w:t>好“丝绸之路”世界文化遗产地保护管理及环境整治工作，加大设施建设，实施监测、本体保护、信息采集、对外展示等，加大具有潜在旅游价值的遗产地的保护利用，做好全疆濒危文化遗产的抢险加固</w:t>
            </w: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gridAfter w:val="11"/>
          <w:wAfter w:w="1005" w:type="dxa"/>
          <w:trHeight w:val="196" w:hRule="atLeast"/>
        </w:trPr>
        <w:tc>
          <w:tcPr>
            <w:tcW w:w="1888"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004"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1"/>
          <w:wAfter w:w="1005" w:type="dxa"/>
          <w:trHeight w:val="172" w:hRule="atLeast"/>
        </w:trPr>
        <w:tc>
          <w:tcPr>
            <w:tcW w:w="1888" w:type="dxa"/>
            <w:gridSpan w:val="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004"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项目运行办公设备购置5万元</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5万元</w:t>
            </w:r>
          </w:p>
        </w:tc>
      </w:tr>
      <w:tr>
        <w:tblPrEx>
          <w:tblLayout w:type="fixed"/>
          <w:tblCellMar>
            <w:top w:w="0" w:type="dxa"/>
            <w:left w:w="108" w:type="dxa"/>
            <w:bottom w:w="0" w:type="dxa"/>
            <w:right w:w="108" w:type="dxa"/>
          </w:tblCellMar>
        </w:tblPrEx>
        <w:trPr>
          <w:gridAfter w:val="11"/>
          <w:wAfter w:w="1005" w:type="dxa"/>
          <w:trHeight w:val="263"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项目运行商品服务支出50万</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50万元</w:t>
            </w:r>
          </w:p>
        </w:tc>
      </w:tr>
      <w:tr>
        <w:tblPrEx>
          <w:tblLayout w:type="fixed"/>
          <w:tblCellMar>
            <w:top w:w="0" w:type="dxa"/>
            <w:left w:w="108" w:type="dxa"/>
            <w:bottom w:w="0" w:type="dxa"/>
            <w:right w:w="108" w:type="dxa"/>
          </w:tblCellMar>
        </w:tblPrEx>
        <w:trPr>
          <w:gridAfter w:val="11"/>
          <w:wAfter w:w="1005" w:type="dxa"/>
          <w:trHeight w:val="224"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项目完成时限</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2019年度</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丝绸之路世界文化遗产监测年报数量</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≥2次</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丝绸之路新疆段文物保护项目检查数量</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≥2次</w:t>
            </w:r>
          </w:p>
        </w:tc>
      </w:tr>
      <w:tr>
        <w:tblPrEx>
          <w:tblLayout w:type="fixed"/>
          <w:tblCellMar>
            <w:top w:w="0" w:type="dxa"/>
            <w:left w:w="108" w:type="dxa"/>
            <w:bottom w:w="0" w:type="dxa"/>
            <w:right w:w="108" w:type="dxa"/>
          </w:tblCellMar>
        </w:tblPrEx>
        <w:trPr>
          <w:gridAfter w:val="11"/>
          <w:wAfter w:w="1005" w:type="dxa"/>
          <w:trHeight w:val="111"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丝绸之路新疆段重点文物保护项目竣工验收次数</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≥1次</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组织丝绸之路世界文化遗产宣传活动</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≥1项</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文物保护项目检查率</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1"/>
          <w:wAfter w:w="1005" w:type="dxa"/>
          <w:trHeight w:val="111"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项目监测</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1"/>
          <w:wAfter w:w="1005" w:type="dxa"/>
          <w:trHeight w:val="172"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项目竣工验收率</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1"/>
          <w:wAfter w:w="1005" w:type="dxa"/>
          <w:trHeight w:val="256"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宣传工作</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004"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项目的实行带来效益</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促进当地旅游业发展，增加旅游收入</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保护世界文化遗产的“真实性”和“完整性”</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长期</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传承中华民族优秀传统文化</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长期</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丝绸之路新疆段文物保护单位延续保存</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长期</w:t>
            </w:r>
          </w:p>
        </w:tc>
      </w:tr>
      <w:tr>
        <w:tblPrEx>
          <w:tblLayout w:type="fixed"/>
          <w:tblCellMar>
            <w:top w:w="0" w:type="dxa"/>
            <w:left w:w="108" w:type="dxa"/>
            <w:bottom w:w="0" w:type="dxa"/>
            <w:right w:w="108" w:type="dxa"/>
          </w:tblCellMar>
        </w:tblPrEx>
        <w:trPr>
          <w:gridAfter w:val="11"/>
          <w:wAfter w:w="1005" w:type="dxa"/>
          <w:trHeight w:val="180"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项目运行对社会带来效益</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提高文物保护水平、保护意识</w:t>
            </w:r>
          </w:p>
        </w:tc>
      </w:tr>
      <w:tr>
        <w:tblPrEx>
          <w:tblLayout w:type="fixed"/>
          <w:tblCellMar>
            <w:top w:w="0" w:type="dxa"/>
            <w:left w:w="108" w:type="dxa"/>
            <w:bottom w:w="0" w:type="dxa"/>
            <w:right w:w="108" w:type="dxa"/>
          </w:tblCellMar>
        </w:tblPrEx>
        <w:trPr>
          <w:gridAfter w:val="11"/>
          <w:wAfter w:w="1005" w:type="dxa"/>
          <w:trHeight w:val="319" w:hRule="atLeast"/>
        </w:trPr>
        <w:tc>
          <w:tcPr>
            <w:tcW w:w="1888"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04"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文物保护单位周围保护率</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保护文物周边环境免遭破坏显出明显</w:t>
            </w:r>
          </w:p>
        </w:tc>
      </w:tr>
      <w:tr>
        <w:tblPrEx>
          <w:tblLayout w:type="fixed"/>
          <w:tblCellMar>
            <w:top w:w="0" w:type="dxa"/>
            <w:left w:w="108" w:type="dxa"/>
            <w:bottom w:w="0" w:type="dxa"/>
            <w:right w:w="108" w:type="dxa"/>
          </w:tblCellMar>
        </w:tblPrEx>
        <w:trPr>
          <w:gridAfter w:val="11"/>
          <w:wAfter w:w="1005" w:type="dxa"/>
          <w:trHeight w:val="218" w:hRule="atLeast"/>
        </w:trPr>
        <w:tc>
          <w:tcPr>
            <w:tcW w:w="1888"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004" w:type="dxa"/>
            <w:gridSpan w:val="1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900"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社会公众对重点文物保护满意度</w:t>
            </w:r>
          </w:p>
        </w:tc>
        <w:tc>
          <w:tcPr>
            <w:tcW w:w="3368"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5"/>
          <w:wAfter w:w="1415" w:type="dxa"/>
          <w:trHeight w:val="360" w:hRule="atLeast"/>
        </w:trPr>
        <w:tc>
          <w:tcPr>
            <w:tcW w:w="12750" w:type="dxa"/>
            <w:gridSpan w:val="91"/>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trHeight w:val="360" w:hRule="atLeast"/>
        </w:trPr>
        <w:tc>
          <w:tcPr>
            <w:tcW w:w="2183" w:type="dxa"/>
            <w:gridSpan w:val="10"/>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168" w:type="dxa"/>
            <w:gridSpan w:val="1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200" w:type="dxa"/>
            <w:gridSpan w:val="9"/>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98" w:type="dxa"/>
            <w:gridSpan w:val="1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01"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01"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53" w:type="dxa"/>
            <w:gridSpan w:val="2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675" w:type="dxa"/>
            <w:gridSpan w:val="20"/>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18"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419" w:hRule="atLeast"/>
        </w:trPr>
        <w:tc>
          <w:tcPr>
            <w:tcW w:w="2183"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268" w:type="dxa"/>
            <w:gridSpan w:val="4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新疆维吾尔自治区文物局</w:t>
            </w:r>
          </w:p>
        </w:tc>
        <w:tc>
          <w:tcPr>
            <w:tcW w:w="2253"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461" w:type="dxa"/>
            <w:gridSpan w:val="3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文物保护单位看护人员专项补助经费</w:t>
            </w:r>
          </w:p>
        </w:tc>
      </w:tr>
      <w:tr>
        <w:tblPrEx>
          <w:tblLayout w:type="fixed"/>
          <w:tblCellMar>
            <w:top w:w="0" w:type="dxa"/>
            <w:left w:w="108" w:type="dxa"/>
            <w:bottom w:w="0" w:type="dxa"/>
            <w:right w:w="108" w:type="dxa"/>
          </w:tblCellMar>
        </w:tblPrEx>
        <w:trPr>
          <w:trHeight w:val="425" w:hRule="atLeast"/>
        </w:trPr>
        <w:tc>
          <w:tcPr>
            <w:tcW w:w="2183" w:type="dxa"/>
            <w:gridSpan w:val="10"/>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368"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313" w:type="dxa"/>
            <w:gridSpan w:val="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2280</w:t>
            </w:r>
          </w:p>
        </w:tc>
        <w:tc>
          <w:tcPr>
            <w:tcW w:w="1587"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2253" w:type="dxa"/>
            <w:gridSpan w:val="2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2280</w:t>
            </w:r>
          </w:p>
        </w:tc>
        <w:tc>
          <w:tcPr>
            <w:tcW w:w="2909"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552"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trHeight w:val="802" w:hRule="atLeast"/>
        </w:trPr>
        <w:tc>
          <w:tcPr>
            <w:tcW w:w="2183" w:type="dxa"/>
            <w:gridSpan w:val="10"/>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982" w:type="dxa"/>
            <w:gridSpan w:val="9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现全区475处野外全国重点文物保护单位、自治区级文物保护单位及长城烽燧有专人看护、日常巡查，提高巡查看护员工作积极性，最大限度减少破坏、盗挖、盗掘等涉及文物违法犯罪案件发生，有效保障文物及相关设施安全，营造社会公众参与文物保护的良好社会氛围。</w:t>
            </w:r>
          </w:p>
        </w:tc>
      </w:tr>
      <w:tr>
        <w:tblPrEx>
          <w:tblLayout w:type="fixed"/>
          <w:tblCellMar>
            <w:top w:w="0" w:type="dxa"/>
            <w:left w:w="108" w:type="dxa"/>
            <w:bottom w:w="0" w:type="dxa"/>
            <w:right w:w="108" w:type="dxa"/>
          </w:tblCellMar>
        </w:tblPrEx>
        <w:trPr>
          <w:trHeight w:val="416" w:hRule="atLeast"/>
        </w:trPr>
        <w:tc>
          <w:tcPr>
            <w:tcW w:w="2183" w:type="dxa"/>
            <w:gridSpan w:val="10"/>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168"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410" w:hRule="atLeast"/>
        </w:trPr>
        <w:tc>
          <w:tcPr>
            <w:tcW w:w="2183" w:type="dxa"/>
            <w:gridSpan w:val="10"/>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168"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全疆补助经费</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2280万元</w:t>
            </w:r>
          </w:p>
        </w:tc>
      </w:tr>
      <w:tr>
        <w:tblPrEx>
          <w:tblLayout w:type="fixed"/>
          <w:tblCellMar>
            <w:top w:w="0" w:type="dxa"/>
            <w:left w:w="108" w:type="dxa"/>
            <w:bottom w:w="0" w:type="dxa"/>
            <w:right w:w="108" w:type="dxa"/>
          </w:tblCellMar>
        </w:tblPrEx>
        <w:trPr>
          <w:trHeight w:val="559" w:hRule="atLeast"/>
        </w:trPr>
        <w:tc>
          <w:tcPr>
            <w:tcW w:w="2183"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68"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补助金发放时间</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2019年12月31日</w:t>
            </w:r>
          </w:p>
        </w:tc>
      </w:tr>
      <w:tr>
        <w:tblPrEx>
          <w:tblLayout w:type="fixed"/>
          <w:tblCellMar>
            <w:top w:w="0" w:type="dxa"/>
            <w:left w:w="108" w:type="dxa"/>
            <w:bottom w:w="0" w:type="dxa"/>
            <w:right w:w="108" w:type="dxa"/>
          </w:tblCellMar>
        </w:tblPrEx>
        <w:trPr>
          <w:trHeight w:val="559" w:hRule="atLeast"/>
        </w:trPr>
        <w:tc>
          <w:tcPr>
            <w:tcW w:w="2183"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68"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自治区野外文物保护单位数量和补助人员数</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475处*2=950人</w:t>
            </w:r>
          </w:p>
        </w:tc>
      </w:tr>
      <w:tr>
        <w:tblPrEx>
          <w:tblLayout w:type="fixed"/>
          <w:tblCellMar>
            <w:top w:w="0" w:type="dxa"/>
            <w:left w:w="108" w:type="dxa"/>
            <w:bottom w:w="0" w:type="dxa"/>
            <w:right w:w="108" w:type="dxa"/>
          </w:tblCellMar>
        </w:tblPrEx>
        <w:trPr>
          <w:trHeight w:val="301" w:hRule="atLeast"/>
        </w:trPr>
        <w:tc>
          <w:tcPr>
            <w:tcW w:w="2183"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68"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全疆14个地州</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trHeight w:val="295" w:hRule="atLeast"/>
        </w:trPr>
        <w:tc>
          <w:tcPr>
            <w:tcW w:w="2183" w:type="dxa"/>
            <w:gridSpan w:val="10"/>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168"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补助人群生活改善情况</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人均增收2.4万元</w:t>
            </w:r>
          </w:p>
        </w:tc>
      </w:tr>
      <w:tr>
        <w:tblPrEx>
          <w:tblLayout w:type="fixed"/>
          <w:tblCellMar>
            <w:top w:w="0" w:type="dxa"/>
            <w:left w:w="108" w:type="dxa"/>
            <w:bottom w:w="0" w:type="dxa"/>
            <w:right w:w="108" w:type="dxa"/>
          </w:tblCellMar>
        </w:tblPrEx>
        <w:trPr>
          <w:trHeight w:val="559" w:hRule="atLeast"/>
        </w:trPr>
        <w:tc>
          <w:tcPr>
            <w:tcW w:w="2183"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68" w:type="dxa"/>
            <w:gridSpan w:val="15"/>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提升社会公众文物保护意识</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406" w:hRule="atLeast"/>
        </w:trPr>
        <w:tc>
          <w:tcPr>
            <w:tcW w:w="2183"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68" w:type="dxa"/>
            <w:gridSpan w:val="1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文物点得到保护率</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trHeight w:val="412" w:hRule="atLeast"/>
        </w:trPr>
        <w:tc>
          <w:tcPr>
            <w:tcW w:w="2183"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68"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周围环境保护率</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trHeight w:val="406" w:hRule="atLeast"/>
        </w:trPr>
        <w:tc>
          <w:tcPr>
            <w:tcW w:w="2183" w:type="dxa"/>
            <w:gridSpan w:val="10"/>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168" w:type="dxa"/>
            <w:gridSpan w:val="15"/>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管理人员对文物管护情况满意度</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trHeight w:val="427" w:hRule="atLeast"/>
        </w:trPr>
        <w:tc>
          <w:tcPr>
            <w:tcW w:w="2183"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68" w:type="dxa"/>
            <w:gridSpan w:val="1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社会公众对保护情况满意度</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trHeight w:val="559" w:hRule="atLeast"/>
        </w:trPr>
        <w:tc>
          <w:tcPr>
            <w:tcW w:w="2183"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68" w:type="dxa"/>
            <w:gridSpan w:val="1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587"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文物看护人员满意度</w:t>
            </w:r>
          </w:p>
        </w:tc>
        <w:tc>
          <w:tcPr>
            <w:tcW w:w="3227"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3"/>
          <w:wAfter w:w="1231" w:type="dxa"/>
          <w:trHeight w:val="360" w:hRule="atLeast"/>
        </w:trPr>
        <w:tc>
          <w:tcPr>
            <w:tcW w:w="12934" w:type="dxa"/>
            <w:gridSpan w:val="93"/>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3"/>
          <w:wAfter w:w="1231" w:type="dxa"/>
          <w:trHeight w:val="360" w:hRule="atLeast"/>
        </w:trPr>
        <w:tc>
          <w:tcPr>
            <w:tcW w:w="2090" w:type="dxa"/>
            <w:gridSpan w:val="9"/>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086" w:type="dxa"/>
            <w:gridSpan w:val="1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154" w:type="dxa"/>
            <w:gridSpan w:val="9"/>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915" w:type="dxa"/>
            <w:gridSpan w:val="1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85"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990" w:type="dxa"/>
            <w:gridSpan w:val="9"/>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243" w:type="dxa"/>
            <w:gridSpan w:val="1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505" w:type="dxa"/>
            <w:gridSpan w:val="19"/>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3"/>
          <w:wAfter w:w="1231" w:type="dxa"/>
          <w:trHeight w:val="600" w:hRule="atLeast"/>
        </w:trPr>
        <w:tc>
          <w:tcPr>
            <w:tcW w:w="2090"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430" w:type="dxa"/>
            <w:gridSpan w:val="4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新疆维吾尔自治区文物局</w:t>
            </w:r>
          </w:p>
        </w:tc>
        <w:tc>
          <w:tcPr>
            <w:tcW w:w="1243"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171"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自治区文物保护项目经费</w:t>
            </w:r>
          </w:p>
        </w:tc>
      </w:tr>
      <w:tr>
        <w:tblPrEx>
          <w:tblLayout w:type="fixed"/>
          <w:tblCellMar>
            <w:top w:w="0" w:type="dxa"/>
            <w:left w:w="108" w:type="dxa"/>
            <w:bottom w:w="0" w:type="dxa"/>
            <w:right w:w="108" w:type="dxa"/>
          </w:tblCellMar>
        </w:tblPrEx>
        <w:trPr>
          <w:gridAfter w:val="13"/>
          <w:wAfter w:w="1231" w:type="dxa"/>
          <w:trHeight w:val="600" w:hRule="atLeast"/>
        </w:trPr>
        <w:tc>
          <w:tcPr>
            <w:tcW w:w="2090" w:type="dxa"/>
            <w:gridSpan w:val="9"/>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240"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915"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410</w:t>
            </w:r>
          </w:p>
        </w:tc>
        <w:tc>
          <w:tcPr>
            <w:tcW w:w="1275"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243"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410</w:t>
            </w:r>
          </w:p>
        </w:tc>
        <w:tc>
          <w:tcPr>
            <w:tcW w:w="2727"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444"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3"/>
          <w:wAfter w:w="1231" w:type="dxa"/>
          <w:trHeight w:val="1110" w:hRule="atLeast"/>
        </w:trPr>
        <w:tc>
          <w:tcPr>
            <w:tcW w:w="2090" w:type="dxa"/>
            <w:gridSpan w:val="9"/>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0844"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组织实施科实吐尔烽火台、霍拉山佛寺遗址维修加固以及沙雅县乌什喀特古城、博斯坦古城遗址保护标志及界桩建设等4项自治区级文物保护单位保护工程，开展巴里坤仙姑庙、地藏王菩萨寺文物保护单位消防系统以及重点文物建筑微型消防站建设，健全第八批国保、区保保护标志及界桩等100余处文物保护单位保护建设实现全疆国保单位安全巡查工作，最大限度减少文物保护单位的破坏；提升部门博物馆展陈水平及安防设施，加快博物公共文化服务设施建设；为正确宣传丝绸之路沿线历史，制作数字化丝绸之路线路及遗迹电子地图，规范博物馆相关内容；继续开展全疆博物馆绩效考评、项目验收、鉴定建档工作，使博物馆工作更加规范化组织文物宣传、出版图书、项目督查检查、人员培训抢救性保护加固工程。</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086"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086"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博物馆业务工作</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300万元</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第八批国保、区保保护标志及界桩</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50万元</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文物宣传、出版图书、项目督查检查、人员培训</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340万元</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自治区级文物保护单位保护</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300万元</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自治区级文物保护单位消防</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100万元</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项目按计划执行率</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完成保护工程数量</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6项，自治区级文物保护单位保护工程</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完成博物馆业务工作</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≥7项</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完成第八批国保、区保保护标志牌及界桩</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≥100处，第八批国保、区保单位</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完成消防工程数量</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2项，自治区级文物保护单位消防工程</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完成宣传、出版、培训等项目</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≥10项</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“四有”工作实现率</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全疆培训次数</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≥2次</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文物案件发生率</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文物保护宣传数量</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≥3次</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项目完成合格率</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086"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促进当地旅游业发展</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传承中华民族优秀传统文化</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中长期</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丝绸之路新疆段文物保护单位延续保存</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中长期</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提高自治区文物保护管理水平</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提升全民文物保护意识</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保护文物保护单位周边环境</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086"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管理人员对保护情况满意度</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3"/>
          <w:wAfter w:w="1231" w:type="dxa"/>
          <w:trHeight w:val="259" w:hRule="atLeast"/>
        </w:trPr>
        <w:tc>
          <w:tcPr>
            <w:tcW w:w="2090" w:type="dxa"/>
            <w:gridSpan w:val="9"/>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086" w:type="dxa"/>
            <w:gridSpan w:val="14"/>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809" w:type="dxa"/>
            <w:gridSpan w:val="4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社会公众对重点文物保护满意度</w:t>
            </w:r>
          </w:p>
        </w:tc>
        <w:tc>
          <w:tcPr>
            <w:tcW w:w="294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bl>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tbl>
      <w:tblPr>
        <w:tblStyle w:val="5"/>
        <w:tblW w:w="14271" w:type="dxa"/>
        <w:tblInd w:w="93" w:type="dxa"/>
        <w:tblLayout w:type="fixed"/>
        <w:tblCellMar>
          <w:top w:w="0" w:type="dxa"/>
          <w:left w:w="108" w:type="dxa"/>
          <w:bottom w:w="0" w:type="dxa"/>
          <w:right w:w="108" w:type="dxa"/>
        </w:tblCellMar>
      </w:tblPr>
      <w:tblGrid>
        <w:gridCol w:w="1338"/>
        <w:gridCol w:w="46"/>
        <w:gridCol w:w="170"/>
        <w:gridCol w:w="46"/>
        <w:gridCol w:w="162"/>
        <w:gridCol w:w="66"/>
        <w:gridCol w:w="204"/>
        <w:gridCol w:w="146"/>
        <w:gridCol w:w="49"/>
        <w:gridCol w:w="21"/>
        <w:gridCol w:w="50"/>
        <w:gridCol w:w="10"/>
        <w:gridCol w:w="576"/>
        <w:gridCol w:w="140"/>
        <w:gridCol w:w="76"/>
        <w:gridCol w:w="140"/>
        <w:gridCol w:w="76"/>
        <w:gridCol w:w="243"/>
        <w:gridCol w:w="64"/>
        <w:gridCol w:w="49"/>
        <w:gridCol w:w="203"/>
        <w:gridCol w:w="13"/>
        <w:gridCol w:w="203"/>
        <w:gridCol w:w="13"/>
        <w:gridCol w:w="226"/>
        <w:gridCol w:w="42"/>
        <w:gridCol w:w="54"/>
        <w:gridCol w:w="97"/>
        <w:gridCol w:w="64"/>
        <w:gridCol w:w="165"/>
        <w:gridCol w:w="52"/>
        <w:gridCol w:w="41"/>
        <w:gridCol w:w="123"/>
        <w:gridCol w:w="146"/>
        <w:gridCol w:w="70"/>
        <w:gridCol w:w="216"/>
        <w:gridCol w:w="118"/>
        <w:gridCol w:w="20"/>
        <w:gridCol w:w="8"/>
        <w:gridCol w:w="70"/>
        <w:gridCol w:w="26"/>
        <w:gridCol w:w="190"/>
        <w:gridCol w:w="13"/>
        <w:gridCol w:w="133"/>
        <w:gridCol w:w="70"/>
        <w:gridCol w:w="146"/>
        <w:gridCol w:w="70"/>
        <w:gridCol w:w="216"/>
        <w:gridCol w:w="146"/>
        <w:gridCol w:w="70"/>
        <w:gridCol w:w="73"/>
        <w:gridCol w:w="12"/>
        <w:gridCol w:w="18"/>
        <w:gridCol w:w="16"/>
        <w:gridCol w:w="107"/>
        <w:gridCol w:w="181"/>
        <w:gridCol w:w="24"/>
        <w:gridCol w:w="6"/>
        <w:gridCol w:w="146"/>
        <w:gridCol w:w="11"/>
        <w:gridCol w:w="59"/>
        <w:gridCol w:w="133"/>
        <w:gridCol w:w="188"/>
        <w:gridCol w:w="100"/>
        <w:gridCol w:w="11"/>
        <w:gridCol w:w="26"/>
        <w:gridCol w:w="73"/>
        <w:gridCol w:w="45"/>
        <w:gridCol w:w="72"/>
        <w:gridCol w:w="26"/>
        <w:gridCol w:w="157"/>
        <w:gridCol w:w="33"/>
        <w:gridCol w:w="17"/>
        <w:gridCol w:w="9"/>
        <w:gridCol w:w="137"/>
        <w:gridCol w:w="104"/>
        <w:gridCol w:w="55"/>
        <w:gridCol w:w="110"/>
        <w:gridCol w:w="17"/>
        <w:gridCol w:w="9"/>
        <w:gridCol w:w="196"/>
        <w:gridCol w:w="20"/>
        <w:gridCol w:w="196"/>
        <w:gridCol w:w="20"/>
        <w:gridCol w:w="25"/>
        <w:gridCol w:w="171"/>
        <w:gridCol w:w="45"/>
        <w:gridCol w:w="147"/>
        <w:gridCol w:w="24"/>
        <w:gridCol w:w="158"/>
        <w:gridCol w:w="96"/>
        <w:gridCol w:w="153"/>
        <w:gridCol w:w="25"/>
        <w:gridCol w:w="100"/>
        <w:gridCol w:w="122"/>
        <w:gridCol w:w="76"/>
        <w:gridCol w:w="24"/>
        <w:gridCol w:w="245"/>
        <w:gridCol w:w="81"/>
        <w:gridCol w:w="47"/>
        <w:gridCol w:w="4"/>
        <w:gridCol w:w="31"/>
        <w:gridCol w:w="73"/>
        <w:gridCol w:w="67"/>
        <w:gridCol w:w="51"/>
        <w:gridCol w:w="9"/>
        <w:gridCol w:w="156"/>
        <w:gridCol w:w="216"/>
        <w:gridCol w:w="246"/>
        <w:gridCol w:w="186"/>
        <w:gridCol w:w="216"/>
        <w:gridCol w:w="132"/>
        <w:gridCol w:w="208"/>
        <w:gridCol w:w="89"/>
        <w:gridCol w:w="3"/>
        <w:gridCol w:w="163"/>
        <w:gridCol w:w="24"/>
        <w:gridCol w:w="29"/>
        <w:gridCol w:w="81"/>
        <w:gridCol w:w="86"/>
        <w:gridCol w:w="138"/>
        <w:gridCol w:w="139"/>
        <w:gridCol w:w="83"/>
        <w:gridCol w:w="33"/>
        <w:gridCol w:w="100"/>
        <w:gridCol w:w="89"/>
        <w:gridCol w:w="94"/>
        <w:gridCol w:w="39"/>
        <w:gridCol w:w="98"/>
        <w:gridCol w:w="71"/>
        <w:gridCol w:w="15"/>
        <w:gridCol w:w="26"/>
        <w:gridCol w:w="110"/>
        <w:gridCol w:w="27"/>
        <w:gridCol w:w="44"/>
        <w:gridCol w:w="28"/>
        <w:gridCol w:w="13"/>
        <w:gridCol w:w="160"/>
        <w:gridCol w:w="16"/>
        <w:gridCol w:w="46"/>
        <w:gridCol w:w="190"/>
      </w:tblGrid>
      <w:tr>
        <w:tblPrEx>
          <w:tblLayout w:type="fixed"/>
          <w:tblCellMar>
            <w:top w:w="0" w:type="dxa"/>
            <w:left w:w="108" w:type="dxa"/>
            <w:bottom w:w="0" w:type="dxa"/>
            <w:right w:w="108" w:type="dxa"/>
          </w:tblCellMar>
        </w:tblPrEx>
        <w:trPr>
          <w:gridAfter w:val="1"/>
          <w:wAfter w:w="190" w:type="dxa"/>
          <w:trHeight w:val="360" w:hRule="atLeast"/>
        </w:trPr>
        <w:tc>
          <w:tcPr>
            <w:tcW w:w="14081" w:type="dxa"/>
            <w:gridSpan w:val="140"/>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
          <w:wAfter w:w="190" w:type="dxa"/>
          <w:trHeight w:val="360" w:hRule="atLeast"/>
        </w:trPr>
        <w:tc>
          <w:tcPr>
            <w:tcW w:w="2298" w:type="dxa"/>
            <w:gridSpan w:val="1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074" w:type="dxa"/>
            <w:gridSpan w:val="1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166" w:type="dxa"/>
            <w:gridSpan w:val="1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752" w:type="dxa"/>
            <w:gridSpan w:val="2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6" w:type="dxa"/>
            <w:gridSpan w:val="1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752" w:type="dxa"/>
            <w:gridSpan w:val="10"/>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518" w:type="dxa"/>
            <w:gridSpan w:val="1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728" w:type="dxa"/>
            <w:gridSpan w:val="2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63"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90" w:type="dxa"/>
          <w:trHeight w:val="357" w:hRule="atLeast"/>
        </w:trPr>
        <w:tc>
          <w:tcPr>
            <w:tcW w:w="2298"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830" w:type="dxa"/>
            <w:gridSpan w:val="7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新疆维吾尔自治区博物馆</w:t>
            </w:r>
          </w:p>
        </w:tc>
        <w:tc>
          <w:tcPr>
            <w:tcW w:w="1518" w:type="dxa"/>
            <w:gridSpan w:val="1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435" w:type="dxa"/>
            <w:gridSpan w:val="3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展览经费</w:t>
            </w:r>
          </w:p>
        </w:tc>
      </w:tr>
      <w:tr>
        <w:tblPrEx>
          <w:tblLayout w:type="fixed"/>
          <w:tblCellMar>
            <w:top w:w="0" w:type="dxa"/>
            <w:left w:w="108" w:type="dxa"/>
            <w:bottom w:w="0" w:type="dxa"/>
            <w:right w:w="108" w:type="dxa"/>
          </w:tblCellMar>
        </w:tblPrEx>
        <w:trPr>
          <w:gridAfter w:val="1"/>
          <w:wAfter w:w="190" w:type="dxa"/>
          <w:trHeight w:val="322" w:hRule="atLeast"/>
        </w:trPr>
        <w:tc>
          <w:tcPr>
            <w:tcW w:w="2298" w:type="dxa"/>
            <w:gridSpan w:val="11"/>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506"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486" w:type="dxa"/>
            <w:gridSpan w:val="29"/>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838"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518" w:type="dxa"/>
            <w:gridSpan w:val="1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1846"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589"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
          <w:wAfter w:w="190" w:type="dxa"/>
          <w:trHeight w:val="1035" w:hRule="atLeast"/>
        </w:trPr>
        <w:tc>
          <w:tcPr>
            <w:tcW w:w="2298" w:type="dxa"/>
            <w:gridSpan w:val="11"/>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83" w:type="dxa"/>
            <w:gridSpan w:val="1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一、充分展示我国经济社会发展取得的历史性成就，充分展示自新中国成立以来，中华民族实现从站起来、富起来到强起来的历史飞跃。                                                       二、向游客展示历史功绩的同时，警示群众前进的道路是曲折的，要坚定不移地砥砺前行，对未来充满信心。                                                                               三、使得广大观众对中国的崛起有更加深刻的体会，增强民族荣誉感，并努力为中华民族的的伟大复兴建功立业。</w:t>
            </w:r>
          </w:p>
        </w:tc>
      </w:tr>
      <w:tr>
        <w:tblPrEx>
          <w:tblLayout w:type="fixed"/>
          <w:tblCellMar>
            <w:top w:w="0" w:type="dxa"/>
            <w:left w:w="108" w:type="dxa"/>
            <w:bottom w:w="0" w:type="dxa"/>
            <w:right w:w="108" w:type="dxa"/>
          </w:tblCellMar>
        </w:tblPrEx>
        <w:trPr>
          <w:gridAfter w:val="1"/>
          <w:wAfter w:w="190" w:type="dxa"/>
          <w:trHeight w:val="360" w:hRule="atLeast"/>
        </w:trPr>
        <w:tc>
          <w:tcPr>
            <w:tcW w:w="2298" w:type="dxa"/>
            <w:gridSpan w:val="11"/>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074"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
          <w:wAfter w:w="190" w:type="dxa"/>
          <w:trHeight w:val="280" w:hRule="atLeast"/>
        </w:trPr>
        <w:tc>
          <w:tcPr>
            <w:tcW w:w="2298"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074"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展陈成本</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&lt;150万元</w:t>
            </w:r>
          </w:p>
        </w:tc>
      </w:tr>
      <w:tr>
        <w:tblPrEx>
          <w:tblLayout w:type="fixed"/>
          <w:tblCellMar>
            <w:top w:w="0" w:type="dxa"/>
            <w:left w:w="108" w:type="dxa"/>
            <w:bottom w:w="0" w:type="dxa"/>
            <w:right w:w="108" w:type="dxa"/>
          </w:tblCellMar>
        </w:tblPrEx>
        <w:trPr>
          <w:gridAfter w:val="1"/>
          <w:wAfter w:w="190" w:type="dxa"/>
          <w:trHeight w:val="370" w:hRule="atLeast"/>
        </w:trPr>
        <w:tc>
          <w:tcPr>
            <w:tcW w:w="229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74"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展出时长</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2-5个月</w:t>
            </w:r>
          </w:p>
        </w:tc>
      </w:tr>
      <w:tr>
        <w:tblPrEx>
          <w:tblLayout w:type="fixed"/>
          <w:tblCellMar>
            <w:top w:w="0" w:type="dxa"/>
            <w:left w:w="108" w:type="dxa"/>
            <w:bottom w:w="0" w:type="dxa"/>
            <w:right w:w="108" w:type="dxa"/>
          </w:tblCellMar>
        </w:tblPrEx>
        <w:trPr>
          <w:gridAfter w:val="1"/>
          <w:wAfter w:w="190" w:type="dxa"/>
          <w:trHeight w:val="378" w:hRule="atLeast"/>
        </w:trPr>
        <w:tc>
          <w:tcPr>
            <w:tcW w:w="229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74" w:type="dxa"/>
            <w:gridSpan w:val="15"/>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接待游客</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&gt;25万人次</w:t>
            </w:r>
          </w:p>
        </w:tc>
      </w:tr>
      <w:tr>
        <w:tblPrEx>
          <w:tblLayout w:type="fixed"/>
          <w:tblCellMar>
            <w:top w:w="0" w:type="dxa"/>
            <w:left w:w="108" w:type="dxa"/>
            <w:bottom w:w="0" w:type="dxa"/>
            <w:right w:w="108" w:type="dxa"/>
          </w:tblCellMar>
        </w:tblPrEx>
        <w:trPr>
          <w:gridAfter w:val="1"/>
          <w:wAfter w:w="190" w:type="dxa"/>
          <w:trHeight w:val="372" w:hRule="atLeast"/>
        </w:trPr>
        <w:tc>
          <w:tcPr>
            <w:tcW w:w="229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74" w:type="dxa"/>
            <w:gridSpan w:val="1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展览面积</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600平方米-1200平方米</w:t>
            </w:r>
          </w:p>
        </w:tc>
      </w:tr>
      <w:tr>
        <w:tblPrEx>
          <w:tblLayout w:type="fixed"/>
          <w:tblCellMar>
            <w:top w:w="0" w:type="dxa"/>
            <w:left w:w="108" w:type="dxa"/>
            <w:bottom w:w="0" w:type="dxa"/>
            <w:right w:w="108" w:type="dxa"/>
          </w:tblCellMar>
        </w:tblPrEx>
        <w:trPr>
          <w:gridAfter w:val="1"/>
          <w:wAfter w:w="190" w:type="dxa"/>
          <w:trHeight w:val="366" w:hRule="atLeast"/>
        </w:trPr>
        <w:tc>
          <w:tcPr>
            <w:tcW w:w="229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74" w:type="dxa"/>
            <w:gridSpan w:val="1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展览数量</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r>
      <w:tr>
        <w:tblPrEx>
          <w:tblLayout w:type="fixed"/>
          <w:tblCellMar>
            <w:top w:w="0" w:type="dxa"/>
            <w:left w:w="108" w:type="dxa"/>
            <w:bottom w:w="0" w:type="dxa"/>
            <w:right w:w="108" w:type="dxa"/>
          </w:tblCellMar>
        </w:tblPrEx>
        <w:trPr>
          <w:gridAfter w:val="1"/>
          <w:wAfter w:w="190" w:type="dxa"/>
          <w:trHeight w:val="374" w:hRule="atLeast"/>
        </w:trPr>
        <w:tc>
          <w:tcPr>
            <w:tcW w:w="229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74" w:type="dxa"/>
            <w:gridSpan w:val="15"/>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游客观展率</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
          <w:wAfter w:w="190" w:type="dxa"/>
          <w:trHeight w:val="240" w:hRule="atLeast"/>
        </w:trPr>
        <w:tc>
          <w:tcPr>
            <w:tcW w:w="229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74" w:type="dxa"/>
            <w:gridSpan w:val="1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展厅安全保障率</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
          <w:wAfter w:w="190" w:type="dxa"/>
          <w:trHeight w:val="416" w:hRule="atLeast"/>
        </w:trPr>
        <w:tc>
          <w:tcPr>
            <w:tcW w:w="229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74" w:type="dxa"/>
            <w:gridSpan w:val="1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正常展出率</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&gt;99%不含每周一闭馆时间</w:t>
            </w:r>
          </w:p>
        </w:tc>
      </w:tr>
      <w:tr>
        <w:tblPrEx>
          <w:tblLayout w:type="fixed"/>
          <w:tblCellMar>
            <w:top w:w="0" w:type="dxa"/>
            <w:left w:w="108" w:type="dxa"/>
            <w:bottom w:w="0" w:type="dxa"/>
            <w:right w:w="108" w:type="dxa"/>
          </w:tblCellMar>
        </w:tblPrEx>
        <w:trPr>
          <w:gridAfter w:val="1"/>
          <w:wAfter w:w="190" w:type="dxa"/>
          <w:trHeight w:val="266" w:hRule="atLeast"/>
        </w:trPr>
        <w:tc>
          <w:tcPr>
            <w:tcW w:w="2298"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074" w:type="dxa"/>
            <w:gridSpan w:val="15"/>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群众认知度</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有所提高</w:t>
            </w:r>
          </w:p>
        </w:tc>
      </w:tr>
      <w:tr>
        <w:tblPrEx>
          <w:tblLayout w:type="fixed"/>
          <w:tblCellMar>
            <w:top w:w="0" w:type="dxa"/>
            <w:left w:w="108" w:type="dxa"/>
            <w:bottom w:w="0" w:type="dxa"/>
            <w:right w:w="108" w:type="dxa"/>
          </w:tblCellMar>
        </w:tblPrEx>
        <w:trPr>
          <w:gridAfter w:val="1"/>
          <w:wAfter w:w="190" w:type="dxa"/>
          <w:trHeight w:val="559" w:hRule="atLeast"/>
        </w:trPr>
        <w:tc>
          <w:tcPr>
            <w:tcW w:w="229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074" w:type="dxa"/>
            <w:gridSpan w:val="1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展陈影响力</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
          <w:wAfter w:w="190" w:type="dxa"/>
          <w:trHeight w:val="559" w:hRule="atLeast"/>
        </w:trPr>
        <w:tc>
          <w:tcPr>
            <w:tcW w:w="2298" w:type="dxa"/>
            <w:gridSpan w:val="11"/>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074"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4972" w:type="dxa"/>
            <w:gridSpan w:val="6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游客投诉率</w:t>
            </w:r>
          </w:p>
        </w:tc>
        <w:tc>
          <w:tcPr>
            <w:tcW w:w="4737" w:type="dxa"/>
            <w:gridSpan w:val="5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&gt;95%</w:t>
            </w:r>
          </w:p>
        </w:tc>
      </w:tr>
      <w:tr>
        <w:tblPrEx>
          <w:tblLayout w:type="fixed"/>
          <w:tblCellMar>
            <w:top w:w="0" w:type="dxa"/>
            <w:left w:w="108" w:type="dxa"/>
            <w:bottom w:w="0" w:type="dxa"/>
            <w:right w:w="108" w:type="dxa"/>
          </w:tblCellMar>
        </w:tblPrEx>
        <w:trPr>
          <w:gridAfter w:val="3"/>
          <w:wAfter w:w="252" w:type="dxa"/>
          <w:trHeight w:val="360" w:hRule="atLeast"/>
        </w:trPr>
        <w:tc>
          <w:tcPr>
            <w:tcW w:w="14019" w:type="dxa"/>
            <w:gridSpan w:val="138"/>
            <w:tcBorders>
              <w:top w:val="nil"/>
              <w:left w:val="nil"/>
              <w:bottom w:val="nil"/>
              <w:right w:val="nil"/>
            </w:tcBorders>
            <w:shd w:val="clear" w:color="auto" w:fill="auto"/>
            <w:vAlign w:val="bottom"/>
          </w:tcPr>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
          <w:wAfter w:w="190" w:type="dxa"/>
          <w:trHeight w:val="360" w:hRule="atLeast"/>
        </w:trPr>
        <w:tc>
          <w:tcPr>
            <w:tcW w:w="2308" w:type="dxa"/>
            <w:gridSpan w:val="1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79" w:type="dxa"/>
            <w:gridSpan w:val="17"/>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258" w:type="dxa"/>
            <w:gridSpan w:val="1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080" w:type="dxa"/>
            <w:gridSpan w:val="2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0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05"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107" w:type="dxa"/>
            <w:gridSpan w:val="2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734" w:type="dxa"/>
            <w:gridSpan w:val="2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5"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5"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90" w:type="dxa"/>
          <w:trHeight w:val="419" w:hRule="atLeast"/>
        </w:trPr>
        <w:tc>
          <w:tcPr>
            <w:tcW w:w="230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227" w:type="dxa"/>
            <w:gridSpan w:val="6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自治区龟兹石窟研究院</w:t>
            </w:r>
          </w:p>
        </w:tc>
        <w:tc>
          <w:tcPr>
            <w:tcW w:w="2107"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439" w:type="dxa"/>
            <w:gridSpan w:val="4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龟兹石窟安防系统运转经费</w:t>
            </w:r>
          </w:p>
        </w:tc>
      </w:tr>
      <w:tr>
        <w:tblPrEx>
          <w:tblLayout w:type="fixed"/>
          <w:tblCellMar>
            <w:top w:w="0" w:type="dxa"/>
            <w:left w:w="108" w:type="dxa"/>
            <w:bottom w:w="0" w:type="dxa"/>
            <w:right w:w="108" w:type="dxa"/>
          </w:tblCellMar>
        </w:tblPrEx>
        <w:trPr>
          <w:gridAfter w:val="1"/>
          <w:wAfter w:w="190" w:type="dxa"/>
          <w:trHeight w:val="425" w:hRule="atLeast"/>
        </w:trPr>
        <w:tc>
          <w:tcPr>
            <w:tcW w:w="2308" w:type="dxa"/>
            <w:gridSpan w:val="1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537" w:type="dxa"/>
            <w:gridSpan w:val="3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258"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1432" w:type="dxa"/>
            <w:gridSpan w:val="2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2107" w:type="dxa"/>
            <w:gridSpan w:val="2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w:t>
            </w:r>
          </w:p>
        </w:tc>
        <w:tc>
          <w:tcPr>
            <w:tcW w:w="2969" w:type="dxa"/>
            <w:gridSpan w:val="3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470"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
          <w:wAfter w:w="190" w:type="dxa"/>
          <w:trHeight w:val="919" w:hRule="atLeast"/>
        </w:trPr>
        <w:tc>
          <w:tcPr>
            <w:tcW w:w="2308" w:type="dxa"/>
            <w:gridSpan w:val="1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3" w:type="dxa"/>
            <w:gridSpan w:val="1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加强文化遗产的保护和管理，积极开展“人防，物防，技防”的安全生产管理工作，在下辖的九个石窟点组织实施安全防范系统建设项目，为保证安防系统和文物及人员的安全，聘用专人负责各个石窟点的安全保卫和文物保护工作该项目主要解决龟兹各石窟点安防系统的正常运转，确保龟兹石窟文物的安全,响应自治区的社会稳定和长治久安总目标。</w:t>
            </w:r>
          </w:p>
        </w:tc>
      </w:tr>
      <w:tr>
        <w:tblPrEx>
          <w:tblLayout w:type="fixed"/>
          <w:tblCellMar>
            <w:top w:w="0" w:type="dxa"/>
            <w:left w:w="108" w:type="dxa"/>
            <w:bottom w:w="0" w:type="dxa"/>
            <w:right w:w="108" w:type="dxa"/>
          </w:tblCellMar>
        </w:tblPrEx>
        <w:trPr>
          <w:gridAfter w:val="1"/>
          <w:wAfter w:w="190" w:type="dxa"/>
          <w:trHeight w:val="316" w:hRule="atLeast"/>
        </w:trPr>
        <w:tc>
          <w:tcPr>
            <w:tcW w:w="2308" w:type="dxa"/>
            <w:gridSpan w:val="1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279"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
          <w:wAfter w:w="190" w:type="dxa"/>
          <w:trHeight w:val="522" w:hRule="atLeast"/>
        </w:trPr>
        <w:tc>
          <w:tcPr>
            <w:tcW w:w="2308"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279" w:type="dxa"/>
            <w:gridSpan w:val="1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防范所需要交通加油维修费用</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12万</w:t>
            </w:r>
          </w:p>
        </w:tc>
      </w:tr>
      <w:tr>
        <w:tblPrEx>
          <w:tblLayout w:type="fixed"/>
          <w:tblCellMar>
            <w:top w:w="0" w:type="dxa"/>
            <w:left w:w="108" w:type="dxa"/>
            <w:bottom w:w="0" w:type="dxa"/>
            <w:right w:w="108" w:type="dxa"/>
          </w:tblCellMar>
        </w:tblPrEx>
        <w:trPr>
          <w:gridAfter w:val="1"/>
          <w:wAfter w:w="190" w:type="dxa"/>
          <w:trHeight w:val="315"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维持安防系统运转电费</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18万</w:t>
            </w:r>
          </w:p>
        </w:tc>
      </w:tr>
      <w:tr>
        <w:tblPrEx>
          <w:tblLayout w:type="fixed"/>
          <w:tblCellMar>
            <w:top w:w="0" w:type="dxa"/>
            <w:left w:w="108" w:type="dxa"/>
            <w:bottom w:w="0" w:type="dxa"/>
            <w:right w:w="108" w:type="dxa"/>
          </w:tblCellMar>
        </w:tblPrEx>
        <w:trPr>
          <w:gridAfter w:val="1"/>
          <w:wAfter w:w="190" w:type="dxa"/>
          <w:trHeight w:val="262"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报警联动工作实效</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7天*24小时</w:t>
            </w:r>
          </w:p>
        </w:tc>
      </w:tr>
      <w:tr>
        <w:tblPrEx>
          <w:tblLayout w:type="fixed"/>
          <w:tblCellMar>
            <w:top w:w="0" w:type="dxa"/>
            <w:left w:w="108" w:type="dxa"/>
            <w:bottom w:w="0" w:type="dxa"/>
            <w:right w:w="108" w:type="dxa"/>
          </w:tblCellMar>
        </w:tblPrEx>
        <w:trPr>
          <w:gridAfter w:val="1"/>
          <w:wAfter w:w="190" w:type="dxa"/>
          <w:trHeight w:val="387"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监控时效率</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
          <w:wAfter w:w="190" w:type="dxa"/>
          <w:trHeight w:val="340"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监控文物时效</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7天*24小时监控石窟文物安全</w:t>
            </w:r>
          </w:p>
        </w:tc>
      </w:tr>
      <w:tr>
        <w:tblPrEx>
          <w:tblLayout w:type="fixed"/>
          <w:tblCellMar>
            <w:top w:w="0" w:type="dxa"/>
            <w:left w:w="108" w:type="dxa"/>
            <w:bottom w:w="0" w:type="dxa"/>
            <w:right w:w="108" w:type="dxa"/>
          </w:tblCellMar>
        </w:tblPrEx>
        <w:trPr>
          <w:gridAfter w:val="1"/>
          <w:wAfter w:w="190" w:type="dxa"/>
          <w:trHeight w:val="522"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安防系统监控覆盖范围</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达到90%</w:t>
            </w:r>
          </w:p>
        </w:tc>
      </w:tr>
      <w:tr>
        <w:tblPrEx>
          <w:tblLayout w:type="fixed"/>
          <w:tblCellMar>
            <w:top w:w="0" w:type="dxa"/>
            <w:left w:w="108" w:type="dxa"/>
            <w:bottom w:w="0" w:type="dxa"/>
            <w:right w:w="108" w:type="dxa"/>
          </w:tblCellMar>
        </w:tblPrEx>
        <w:trPr>
          <w:gridAfter w:val="1"/>
          <w:wAfter w:w="190" w:type="dxa"/>
          <w:trHeight w:val="378"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监控野外石窟点</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5处</w:t>
            </w:r>
          </w:p>
        </w:tc>
      </w:tr>
      <w:tr>
        <w:tblPrEx>
          <w:tblLayout w:type="fixed"/>
          <w:tblCellMar>
            <w:top w:w="0" w:type="dxa"/>
            <w:left w:w="108" w:type="dxa"/>
            <w:bottom w:w="0" w:type="dxa"/>
            <w:right w:w="108" w:type="dxa"/>
          </w:tblCellMar>
        </w:tblPrEx>
        <w:trPr>
          <w:gridAfter w:val="1"/>
          <w:wAfter w:w="190" w:type="dxa"/>
          <w:trHeight w:val="522"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高清视屏图像采集存储率</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
          <w:wAfter w:w="190" w:type="dxa"/>
          <w:trHeight w:val="308"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确保文物安全率</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95%，给后人留下珍贵文物宝藏</w:t>
            </w:r>
          </w:p>
        </w:tc>
      </w:tr>
      <w:tr>
        <w:tblPrEx>
          <w:tblLayout w:type="fixed"/>
          <w:tblCellMar>
            <w:top w:w="0" w:type="dxa"/>
            <w:left w:w="108" w:type="dxa"/>
            <w:bottom w:w="0" w:type="dxa"/>
            <w:right w:w="108" w:type="dxa"/>
          </w:tblCellMar>
        </w:tblPrEx>
        <w:trPr>
          <w:gridAfter w:val="1"/>
          <w:wAfter w:w="190" w:type="dxa"/>
          <w:trHeight w:val="246"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云台控制率</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远端监控，控制转动方向达80%</w:t>
            </w:r>
          </w:p>
        </w:tc>
      </w:tr>
      <w:tr>
        <w:tblPrEx>
          <w:tblLayout w:type="fixed"/>
          <w:tblCellMar>
            <w:top w:w="0" w:type="dxa"/>
            <w:left w:w="108" w:type="dxa"/>
            <w:bottom w:w="0" w:type="dxa"/>
            <w:right w:w="108" w:type="dxa"/>
          </w:tblCellMar>
        </w:tblPrEx>
        <w:trPr>
          <w:gridAfter w:val="1"/>
          <w:wAfter w:w="190" w:type="dxa"/>
          <w:trHeight w:val="522" w:hRule="atLeast"/>
        </w:trPr>
        <w:tc>
          <w:tcPr>
            <w:tcW w:w="2308"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279"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重大安全事故发生率</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
          <w:wAfter w:w="190" w:type="dxa"/>
          <w:trHeight w:val="522" w:hRule="atLeast"/>
        </w:trPr>
        <w:tc>
          <w:tcPr>
            <w:tcW w:w="2308" w:type="dxa"/>
            <w:gridSpan w:val="1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279"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29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保障游客有序参观，为我单位带来了良好的经济效益</w:t>
            </w:r>
          </w:p>
        </w:tc>
        <w:tc>
          <w:tcPr>
            <w:tcW w:w="3204"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为院增加近300万事业收入</w:t>
            </w:r>
          </w:p>
        </w:tc>
      </w:tr>
      <w:tr>
        <w:tblPrEx>
          <w:tblLayout w:type="fixed"/>
          <w:tblCellMar>
            <w:top w:w="0" w:type="dxa"/>
            <w:left w:w="108" w:type="dxa"/>
            <w:bottom w:w="0" w:type="dxa"/>
            <w:right w:w="108" w:type="dxa"/>
          </w:tblCellMar>
        </w:tblPrEx>
        <w:trPr>
          <w:gridAfter w:val="15"/>
          <w:wAfter w:w="977" w:type="dxa"/>
          <w:trHeight w:val="360" w:hRule="atLeast"/>
        </w:trPr>
        <w:tc>
          <w:tcPr>
            <w:tcW w:w="13294" w:type="dxa"/>
            <w:gridSpan w:val="126"/>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5"/>
          <w:wAfter w:w="977" w:type="dxa"/>
          <w:trHeight w:val="360" w:hRule="atLeast"/>
        </w:trPr>
        <w:tc>
          <w:tcPr>
            <w:tcW w:w="2178" w:type="dxa"/>
            <w:gridSpan w:val="8"/>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152" w:type="dxa"/>
            <w:gridSpan w:val="17"/>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188" w:type="dxa"/>
            <w:gridSpan w:val="1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964" w:type="dxa"/>
            <w:gridSpan w:val="2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88"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892" w:type="dxa"/>
            <w:gridSpan w:val="1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385" w:type="dxa"/>
            <w:gridSpan w:val="1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581" w:type="dxa"/>
            <w:gridSpan w:val="2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5"/>
          <w:wAfter w:w="977" w:type="dxa"/>
          <w:trHeight w:val="600" w:hRule="atLeast"/>
        </w:trPr>
        <w:tc>
          <w:tcPr>
            <w:tcW w:w="2178"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484" w:type="dxa"/>
            <w:gridSpan w:val="7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新疆维吾尔自治区文化厅机关服务中心</w:t>
            </w:r>
          </w:p>
        </w:tc>
        <w:tc>
          <w:tcPr>
            <w:tcW w:w="1385"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247" w:type="dxa"/>
            <w:gridSpan w:val="3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机关运行成本性支出</w:t>
            </w:r>
          </w:p>
        </w:tc>
      </w:tr>
      <w:tr>
        <w:tblPrEx>
          <w:tblLayout w:type="fixed"/>
          <w:tblCellMar>
            <w:top w:w="0" w:type="dxa"/>
            <w:left w:w="108" w:type="dxa"/>
            <w:bottom w:w="0" w:type="dxa"/>
            <w:right w:w="108" w:type="dxa"/>
          </w:tblCellMar>
        </w:tblPrEx>
        <w:trPr>
          <w:gridAfter w:val="15"/>
          <w:wAfter w:w="977" w:type="dxa"/>
          <w:trHeight w:val="600" w:hRule="atLeast"/>
        </w:trPr>
        <w:tc>
          <w:tcPr>
            <w:tcW w:w="2178" w:type="dxa"/>
            <w:gridSpan w:val="8"/>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340"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585" w:type="dxa"/>
            <w:gridSpan w:val="19"/>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140</w:t>
            </w:r>
          </w:p>
        </w:tc>
        <w:tc>
          <w:tcPr>
            <w:tcW w:w="1559"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385" w:type="dxa"/>
            <w:gridSpan w:val="1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140</w:t>
            </w:r>
          </w:p>
        </w:tc>
        <w:tc>
          <w:tcPr>
            <w:tcW w:w="2803"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444"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5"/>
          <w:wAfter w:w="977" w:type="dxa"/>
          <w:trHeight w:val="919" w:hRule="atLeast"/>
        </w:trPr>
        <w:tc>
          <w:tcPr>
            <w:tcW w:w="2178" w:type="dxa"/>
            <w:gridSpan w:val="8"/>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116" w:type="dxa"/>
            <w:gridSpan w:val="11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度，预计将胜利路文化大院出租房屋6910.06平方米进行维修维护，预计需要成本性支出285万元主要包括屋面维修，包含整体屋面防水处理，地下室顶面防水处理，房屋附属设施维修，门窗及水、电、暖维修更换，附属设施绿化，消防设备维修维护，暖气管道维修更换，人防监控设备维护，排水工程维修费，支付房屋租赁纠纷律师服务费。</w:t>
            </w:r>
          </w:p>
        </w:tc>
      </w:tr>
      <w:tr>
        <w:tblPrEx>
          <w:tblLayout w:type="fixed"/>
          <w:tblCellMar>
            <w:top w:w="0" w:type="dxa"/>
            <w:left w:w="108" w:type="dxa"/>
            <w:bottom w:w="0" w:type="dxa"/>
            <w:right w:w="108" w:type="dxa"/>
          </w:tblCellMar>
        </w:tblPrEx>
        <w:trPr>
          <w:gridAfter w:val="15"/>
          <w:wAfter w:w="977" w:type="dxa"/>
          <w:trHeight w:val="378" w:hRule="atLeast"/>
        </w:trPr>
        <w:tc>
          <w:tcPr>
            <w:tcW w:w="2178" w:type="dxa"/>
            <w:gridSpan w:val="8"/>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152"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5"/>
          <w:wAfter w:w="977" w:type="dxa"/>
          <w:trHeight w:val="600" w:hRule="atLeast"/>
        </w:trPr>
        <w:tc>
          <w:tcPr>
            <w:tcW w:w="2178" w:type="dxa"/>
            <w:gridSpan w:val="8"/>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152"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项目预算资金</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285万</w:t>
            </w:r>
          </w:p>
        </w:tc>
      </w:tr>
      <w:tr>
        <w:tblPrEx>
          <w:tblLayout w:type="fixed"/>
          <w:tblCellMar>
            <w:top w:w="0" w:type="dxa"/>
            <w:left w:w="108" w:type="dxa"/>
            <w:bottom w:w="0" w:type="dxa"/>
            <w:right w:w="108" w:type="dxa"/>
          </w:tblCellMar>
        </w:tblPrEx>
        <w:trPr>
          <w:gridAfter w:val="15"/>
          <w:wAfter w:w="977" w:type="dxa"/>
          <w:trHeight w:val="364" w:hRule="atLeast"/>
        </w:trPr>
        <w:tc>
          <w:tcPr>
            <w:tcW w:w="2178"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52"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维修维护完成情况</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2019年11月30日</w:t>
            </w:r>
          </w:p>
        </w:tc>
      </w:tr>
      <w:tr>
        <w:tblPrEx>
          <w:tblLayout w:type="fixed"/>
          <w:tblCellMar>
            <w:top w:w="0" w:type="dxa"/>
            <w:left w:w="108" w:type="dxa"/>
            <w:bottom w:w="0" w:type="dxa"/>
            <w:right w:w="108" w:type="dxa"/>
          </w:tblCellMar>
        </w:tblPrEx>
        <w:trPr>
          <w:gridAfter w:val="15"/>
          <w:wAfter w:w="977" w:type="dxa"/>
          <w:trHeight w:val="600" w:hRule="atLeast"/>
        </w:trPr>
        <w:tc>
          <w:tcPr>
            <w:tcW w:w="2178"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52"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文化大院出租房屋进行维修维护</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6910.06平方米</w:t>
            </w:r>
          </w:p>
        </w:tc>
      </w:tr>
      <w:tr>
        <w:tblPrEx>
          <w:tblLayout w:type="fixed"/>
          <w:tblCellMar>
            <w:top w:w="0" w:type="dxa"/>
            <w:left w:w="108" w:type="dxa"/>
            <w:bottom w:w="0" w:type="dxa"/>
            <w:right w:w="108" w:type="dxa"/>
          </w:tblCellMar>
        </w:tblPrEx>
        <w:trPr>
          <w:gridAfter w:val="15"/>
          <w:wAfter w:w="977" w:type="dxa"/>
          <w:trHeight w:val="392" w:hRule="atLeast"/>
        </w:trPr>
        <w:tc>
          <w:tcPr>
            <w:tcW w:w="2178"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52"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维修维护后能够符合出租、维稳、消防等要求</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5"/>
          <w:wAfter w:w="977" w:type="dxa"/>
          <w:trHeight w:val="600" w:hRule="atLeast"/>
        </w:trPr>
        <w:tc>
          <w:tcPr>
            <w:tcW w:w="2178" w:type="dxa"/>
            <w:gridSpan w:val="8"/>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152"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确保国有资产保值增值</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逐年提升国有资产收益</w:t>
            </w:r>
          </w:p>
        </w:tc>
      </w:tr>
      <w:tr>
        <w:tblPrEx>
          <w:tblLayout w:type="fixed"/>
          <w:tblCellMar>
            <w:top w:w="0" w:type="dxa"/>
            <w:left w:w="108" w:type="dxa"/>
            <w:bottom w:w="0" w:type="dxa"/>
            <w:right w:w="108" w:type="dxa"/>
          </w:tblCellMar>
        </w:tblPrEx>
        <w:trPr>
          <w:gridAfter w:val="15"/>
          <w:wAfter w:w="977" w:type="dxa"/>
          <w:trHeight w:val="364" w:hRule="atLeast"/>
        </w:trPr>
        <w:tc>
          <w:tcPr>
            <w:tcW w:w="2178" w:type="dxa"/>
            <w:gridSpan w:val="8"/>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152" w:type="dxa"/>
            <w:gridSpan w:val="1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提升房屋租赁户满意度</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gridAfter w:val="15"/>
          <w:wAfter w:w="977" w:type="dxa"/>
          <w:trHeight w:val="404" w:hRule="atLeast"/>
        </w:trPr>
        <w:tc>
          <w:tcPr>
            <w:tcW w:w="2178"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52"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提升居住业主满意度</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gridAfter w:val="15"/>
          <w:wAfter w:w="977" w:type="dxa"/>
          <w:trHeight w:val="600" w:hRule="atLeast"/>
        </w:trPr>
        <w:tc>
          <w:tcPr>
            <w:tcW w:w="2178"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52"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提升维稳安全部门满意度</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5"/>
          <w:wAfter w:w="977" w:type="dxa"/>
          <w:trHeight w:val="600" w:hRule="atLeast"/>
        </w:trPr>
        <w:tc>
          <w:tcPr>
            <w:tcW w:w="2178" w:type="dxa"/>
            <w:gridSpan w:val="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52" w:type="dxa"/>
            <w:gridSpan w:val="1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939"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提升消防安全部门满意度</w:t>
            </w:r>
          </w:p>
        </w:tc>
        <w:tc>
          <w:tcPr>
            <w:tcW w:w="3025"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Layout w:type="fixed"/>
          <w:tblCellMar>
            <w:top w:w="0" w:type="dxa"/>
            <w:left w:w="108" w:type="dxa"/>
            <w:bottom w:w="0" w:type="dxa"/>
            <w:right w:w="108" w:type="dxa"/>
          </w:tblCellMar>
        </w:tblPrEx>
        <w:trPr>
          <w:gridAfter w:val="1"/>
          <w:wAfter w:w="190" w:type="dxa"/>
          <w:trHeight w:val="360" w:hRule="atLeast"/>
        </w:trPr>
        <w:tc>
          <w:tcPr>
            <w:tcW w:w="14081" w:type="dxa"/>
            <w:gridSpan w:val="140"/>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
          <w:wAfter w:w="190" w:type="dxa"/>
          <w:trHeight w:val="360" w:hRule="atLeast"/>
        </w:trPr>
        <w:tc>
          <w:tcPr>
            <w:tcW w:w="1338" w:type="dxa"/>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546" w:type="dxa"/>
            <w:gridSpan w:val="1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991" w:type="dxa"/>
            <w:gridSpan w:val="8"/>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103" w:type="dxa"/>
            <w:gridSpan w:val="2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648"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613" w:type="dxa"/>
            <w:gridSpan w:val="2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432"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006" w:type="dxa"/>
            <w:gridSpan w:val="2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848" w:type="dxa"/>
            <w:gridSpan w:val="27"/>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34"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90" w:type="dxa"/>
          <w:trHeight w:val="499" w:hRule="atLeast"/>
        </w:trPr>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3507" w:type="dxa"/>
            <w:gridSpan w:val="3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新疆维吾尔自治区文化厅机关服务中心</w:t>
            </w:r>
          </w:p>
        </w:tc>
        <w:tc>
          <w:tcPr>
            <w:tcW w:w="1924" w:type="dxa"/>
            <w:gridSpan w:val="1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7312" w:type="dxa"/>
            <w:gridSpan w:val="8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申请追加新疆京剧团2014年津贴补贴、申请追加新疆京剧团职工2016-2017年度</w:t>
            </w:r>
          </w:p>
        </w:tc>
      </w:tr>
      <w:tr>
        <w:tblPrEx>
          <w:tblLayout w:type="fixed"/>
          <w:tblCellMar>
            <w:top w:w="0" w:type="dxa"/>
            <w:left w:w="108" w:type="dxa"/>
            <w:bottom w:w="0" w:type="dxa"/>
            <w:right w:w="108" w:type="dxa"/>
          </w:tblCellMar>
        </w:tblPrEx>
        <w:trPr>
          <w:gridAfter w:val="1"/>
          <w:wAfter w:w="190" w:type="dxa"/>
          <w:trHeight w:val="464" w:hRule="atLeast"/>
        </w:trPr>
        <w:tc>
          <w:tcPr>
            <w:tcW w:w="133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537"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970"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57.5</w:t>
            </w:r>
          </w:p>
        </w:tc>
        <w:tc>
          <w:tcPr>
            <w:tcW w:w="2962" w:type="dxa"/>
            <w:gridSpan w:val="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864"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57.5</w:t>
            </w:r>
          </w:p>
        </w:tc>
        <w:tc>
          <w:tcPr>
            <w:tcW w:w="4854" w:type="dxa"/>
            <w:gridSpan w:val="4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556"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
          <w:wAfter w:w="190" w:type="dxa"/>
          <w:trHeight w:val="919" w:hRule="atLeast"/>
        </w:trPr>
        <w:tc>
          <w:tcPr>
            <w:tcW w:w="133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743" w:type="dxa"/>
            <w:gridSpan w:val="139"/>
            <w:tcBorders>
              <w:top w:val="single" w:color="000000" w:sz="4" w:space="0"/>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为了提高离退休人员待遇，保障人员经费的全额发放，弥补2014年部门预算安排京剧团在职人员津贴补贴及2016-2017年度取暖费2019年度将新疆京剧团原在职人员津贴补贴发放完毕，将新疆京剧团2016-2017年度取暖费发放完毕。</w:t>
            </w:r>
          </w:p>
        </w:tc>
      </w:tr>
      <w:tr>
        <w:tblPrEx>
          <w:tblLayout w:type="fixed"/>
          <w:tblCellMar>
            <w:top w:w="0" w:type="dxa"/>
            <w:left w:w="108" w:type="dxa"/>
            <w:bottom w:w="0" w:type="dxa"/>
            <w:right w:w="108" w:type="dxa"/>
          </w:tblCellMar>
        </w:tblPrEx>
        <w:trPr>
          <w:gridAfter w:val="1"/>
          <w:wAfter w:w="190" w:type="dxa"/>
          <w:trHeight w:val="330" w:hRule="atLeast"/>
        </w:trPr>
        <w:tc>
          <w:tcPr>
            <w:tcW w:w="133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221"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
          <w:wAfter w:w="190" w:type="dxa"/>
          <w:trHeight w:val="564" w:hRule="atLeast"/>
        </w:trPr>
        <w:tc>
          <w:tcPr>
            <w:tcW w:w="13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221"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按标准发放人员津补贴取暖费</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津补贴48万元，暖气费9.5万元</w:t>
            </w:r>
          </w:p>
        </w:tc>
      </w:tr>
      <w:tr>
        <w:tblPrEx>
          <w:tblLayout w:type="fixed"/>
          <w:tblCellMar>
            <w:top w:w="0" w:type="dxa"/>
            <w:left w:w="108" w:type="dxa"/>
            <w:bottom w:w="0" w:type="dxa"/>
            <w:right w:w="108" w:type="dxa"/>
          </w:tblCellMar>
        </w:tblPrEx>
        <w:trPr>
          <w:gridAfter w:val="1"/>
          <w:wAfter w:w="190" w:type="dxa"/>
          <w:trHeight w:val="416" w:hRule="atLeast"/>
        </w:trPr>
        <w:tc>
          <w:tcPr>
            <w:tcW w:w="133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221"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完成时效</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2019年10月31日</w:t>
            </w:r>
          </w:p>
        </w:tc>
      </w:tr>
      <w:tr>
        <w:tblPrEx>
          <w:tblLayout w:type="fixed"/>
          <w:tblCellMar>
            <w:top w:w="0" w:type="dxa"/>
            <w:left w:w="108" w:type="dxa"/>
            <w:bottom w:w="0" w:type="dxa"/>
            <w:right w:w="108" w:type="dxa"/>
          </w:tblCellMar>
        </w:tblPrEx>
        <w:trPr>
          <w:gridAfter w:val="1"/>
          <w:wAfter w:w="190" w:type="dxa"/>
          <w:trHeight w:val="600" w:hRule="atLeast"/>
        </w:trPr>
        <w:tc>
          <w:tcPr>
            <w:tcW w:w="133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221" w:type="dxa"/>
            <w:gridSpan w:val="1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2014年京剧团部门预算人员津贴补贴</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48万元</w:t>
            </w:r>
          </w:p>
        </w:tc>
      </w:tr>
      <w:tr>
        <w:tblPrEx>
          <w:tblLayout w:type="fixed"/>
          <w:tblCellMar>
            <w:top w:w="0" w:type="dxa"/>
            <w:left w:w="108" w:type="dxa"/>
            <w:bottom w:w="0" w:type="dxa"/>
            <w:right w:w="108" w:type="dxa"/>
          </w:tblCellMar>
        </w:tblPrEx>
        <w:trPr>
          <w:gridAfter w:val="1"/>
          <w:wAfter w:w="190" w:type="dxa"/>
          <w:trHeight w:val="375" w:hRule="atLeast"/>
        </w:trPr>
        <w:tc>
          <w:tcPr>
            <w:tcW w:w="133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221" w:type="dxa"/>
            <w:gridSpan w:val="17"/>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取暖费</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9.5万元</w:t>
            </w:r>
          </w:p>
        </w:tc>
      </w:tr>
      <w:tr>
        <w:tblPrEx>
          <w:tblLayout w:type="fixed"/>
          <w:tblCellMar>
            <w:top w:w="0" w:type="dxa"/>
            <w:left w:w="108" w:type="dxa"/>
            <w:bottom w:w="0" w:type="dxa"/>
            <w:right w:w="108" w:type="dxa"/>
          </w:tblCellMar>
        </w:tblPrEx>
        <w:trPr>
          <w:gridAfter w:val="1"/>
          <w:wAfter w:w="190" w:type="dxa"/>
          <w:trHeight w:val="424" w:hRule="atLeast"/>
        </w:trPr>
        <w:tc>
          <w:tcPr>
            <w:tcW w:w="133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221"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完成好发放工作</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
          <w:wAfter w:w="190" w:type="dxa"/>
          <w:trHeight w:val="600" w:hRule="atLeast"/>
        </w:trPr>
        <w:tc>
          <w:tcPr>
            <w:tcW w:w="133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221"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确保经费保障连续性</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尽快弥补资金缺口</w:t>
            </w:r>
          </w:p>
        </w:tc>
      </w:tr>
      <w:tr>
        <w:tblPrEx>
          <w:tblLayout w:type="fixed"/>
          <w:tblCellMar>
            <w:top w:w="0" w:type="dxa"/>
            <w:left w:w="108" w:type="dxa"/>
            <w:bottom w:w="0" w:type="dxa"/>
            <w:right w:w="108" w:type="dxa"/>
          </w:tblCellMar>
        </w:tblPrEx>
        <w:trPr>
          <w:gridAfter w:val="1"/>
          <w:wAfter w:w="190" w:type="dxa"/>
          <w:trHeight w:val="464" w:hRule="atLeast"/>
        </w:trPr>
        <w:tc>
          <w:tcPr>
            <w:tcW w:w="1338"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2221"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保障离退休人员退休待遇</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
          <w:wAfter w:w="190" w:type="dxa"/>
          <w:trHeight w:val="600" w:hRule="atLeast"/>
        </w:trPr>
        <w:tc>
          <w:tcPr>
            <w:tcW w:w="1338"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221" w:type="dxa"/>
            <w:gridSpan w:val="17"/>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112"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提升人员对津补贴、取暖费发放的满意度</w:t>
            </w:r>
          </w:p>
        </w:tc>
        <w:tc>
          <w:tcPr>
            <w:tcW w:w="5410" w:type="dxa"/>
            <w:gridSpan w:val="6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7"/>
          <w:wAfter w:w="1166" w:type="dxa"/>
          <w:trHeight w:val="478" w:hRule="atLeast"/>
        </w:trPr>
        <w:tc>
          <w:tcPr>
            <w:tcW w:w="13105" w:type="dxa"/>
            <w:gridSpan w:val="124"/>
            <w:tcBorders>
              <w:top w:val="nil"/>
              <w:left w:val="nil"/>
              <w:bottom w:val="nil"/>
              <w:right w:val="nil"/>
            </w:tcBorders>
            <w:shd w:val="clear" w:color="auto" w:fill="auto"/>
            <w:vAlign w:val="bottom"/>
          </w:tcPr>
          <w:p>
            <w:pPr>
              <w:widowControl/>
              <w:jc w:val="center"/>
              <w:rPr>
                <w:rFonts w:hint="eastAsia"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7"/>
          <w:wAfter w:w="1166" w:type="dxa"/>
          <w:trHeight w:val="274" w:hRule="atLeast"/>
        </w:trPr>
        <w:tc>
          <w:tcPr>
            <w:tcW w:w="155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253" w:type="dxa"/>
            <w:gridSpan w:val="6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w:t>
            </w:r>
          </w:p>
        </w:tc>
        <w:tc>
          <w:tcPr>
            <w:tcW w:w="1296" w:type="dxa"/>
            <w:gridSpan w:val="1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02" w:type="dxa"/>
            <w:gridSpan w:val="4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运行经费</w:t>
            </w:r>
          </w:p>
        </w:tc>
      </w:tr>
      <w:tr>
        <w:tblPrEx>
          <w:tblLayout w:type="fixed"/>
          <w:tblCellMar>
            <w:top w:w="0" w:type="dxa"/>
            <w:left w:w="108" w:type="dxa"/>
            <w:bottom w:w="0" w:type="dxa"/>
            <w:right w:w="108" w:type="dxa"/>
          </w:tblCellMar>
        </w:tblPrEx>
        <w:trPr>
          <w:gridAfter w:val="17"/>
          <w:wAfter w:w="1166" w:type="dxa"/>
          <w:trHeight w:val="391" w:hRule="atLeast"/>
        </w:trPr>
        <w:tc>
          <w:tcPr>
            <w:tcW w:w="155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537"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023"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650</w:t>
            </w:r>
          </w:p>
        </w:tc>
        <w:tc>
          <w:tcPr>
            <w:tcW w:w="2693" w:type="dxa"/>
            <w:gridSpan w:val="3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296" w:type="dxa"/>
            <w:gridSpan w:val="1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650</w:t>
            </w:r>
          </w:p>
        </w:tc>
        <w:tc>
          <w:tcPr>
            <w:tcW w:w="2392"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610"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7"/>
          <w:wAfter w:w="1166" w:type="dxa"/>
          <w:trHeight w:val="1262" w:hRule="atLeast"/>
        </w:trPr>
        <w:tc>
          <w:tcPr>
            <w:tcW w:w="155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551" w:type="dxa"/>
            <w:gridSpan w:val="121"/>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1"/>
                <w:szCs w:val="11"/>
              </w:rPr>
            </w:pPr>
            <w:r>
              <w:rPr>
                <w:rFonts w:hint="eastAsia" w:ascii="宋体" w:hAnsi="宋体" w:cs="宋体"/>
                <w:kern w:val="0"/>
                <w:sz w:val="11"/>
                <w:szCs w:val="11"/>
              </w:rPr>
              <w:t>新</w:t>
            </w:r>
            <w:r>
              <w:rPr>
                <w:rFonts w:hint="eastAsia" w:ascii="宋体" w:hAnsi="宋体" w:cs="宋体"/>
                <w:kern w:val="0"/>
                <w:sz w:val="13"/>
                <w:szCs w:val="13"/>
              </w:rPr>
              <w:t>疆艺术剧院院内共有院机关及所属四家单位集中办公（现已有九家下属单位），财政拨付的运行经费可以有效的保障各部门正常运转，使办公、排练正常化，可以更好的发挥我区最大的艺术表演场所的功效我院综合业务楼集办公、排练、演出为一体，分为地上八层，地下两层，房屋建筑面积35325.07平方米。</w:t>
            </w:r>
            <w:r>
              <w:rPr>
                <w:rFonts w:hint="eastAsia" w:ascii="宋体" w:hAnsi="宋体" w:cs="宋体"/>
                <w:kern w:val="0"/>
                <w:sz w:val="13"/>
                <w:szCs w:val="13"/>
              </w:rPr>
              <w:br w:type="textWrapping"/>
            </w:r>
            <w:r>
              <w:rPr>
                <w:rFonts w:hint="eastAsia" w:ascii="宋体" w:hAnsi="宋体" w:cs="宋体"/>
                <w:kern w:val="0"/>
                <w:sz w:val="13"/>
                <w:szCs w:val="13"/>
              </w:rPr>
              <w:t>运行经费650万元保障了我院综合业务楼的正常运转，为楼内单位的正常业务开展奠定了基础将围绕剧院的中心工作提供保障和服务，经预算将主要用于剧院大楼水、电、暖、电梯、电气、消防、配电维护等基础设施方面的所需费用；保障大楼正常运转，物业所需保洁、保安人、监控、水、电、暖工的人员费用及维护材料；舞美设施更新维护；剧院基础实施维修改造，日常办公各项基本支出等。</w:t>
            </w:r>
          </w:p>
        </w:tc>
      </w:tr>
      <w:tr>
        <w:tblPrEx>
          <w:tblLayout w:type="fixed"/>
          <w:tblCellMar>
            <w:top w:w="0" w:type="dxa"/>
            <w:left w:w="108" w:type="dxa"/>
            <w:bottom w:w="0" w:type="dxa"/>
            <w:right w:w="108" w:type="dxa"/>
          </w:tblCellMar>
        </w:tblPrEx>
        <w:trPr>
          <w:gridAfter w:val="17"/>
          <w:wAfter w:w="1166" w:type="dxa"/>
          <w:trHeight w:val="272" w:hRule="atLeast"/>
        </w:trPr>
        <w:tc>
          <w:tcPr>
            <w:tcW w:w="155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46"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7"/>
          <w:wAfter w:w="1166" w:type="dxa"/>
          <w:trHeight w:val="499" w:hRule="atLeast"/>
        </w:trPr>
        <w:tc>
          <w:tcPr>
            <w:tcW w:w="155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46"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按时足额缴纳楼内水、电、暖等费用完成率</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7"/>
          <w:wAfter w:w="1166" w:type="dxa"/>
          <w:trHeight w:val="299"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维修维护费用保障程度</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7"/>
          <w:wAfter w:w="1166" w:type="dxa"/>
          <w:trHeight w:val="388"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安保服务时间</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安保服务保证全天24小时在岗</w:t>
            </w:r>
          </w:p>
        </w:tc>
      </w:tr>
      <w:tr>
        <w:tblPrEx>
          <w:tblLayout w:type="fixed"/>
          <w:tblCellMar>
            <w:top w:w="0" w:type="dxa"/>
            <w:left w:w="108" w:type="dxa"/>
            <w:bottom w:w="0" w:type="dxa"/>
            <w:right w:w="108" w:type="dxa"/>
          </w:tblCellMar>
        </w:tblPrEx>
        <w:trPr>
          <w:gridAfter w:val="17"/>
          <w:wAfter w:w="1166" w:type="dxa"/>
          <w:trHeight w:val="422"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物业管理服务时间</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水、电、暖等服务人员全天24小时在岗</w:t>
            </w:r>
          </w:p>
        </w:tc>
      </w:tr>
      <w:tr>
        <w:tblPrEx>
          <w:tblLayout w:type="fixed"/>
          <w:tblCellMar>
            <w:top w:w="0" w:type="dxa"/>
            <w:left w:w="108" w:type="dxa"/>
            <w:bottom w:w="0" w:type="dxa"/>
            <w:right w:w="108" w:type="dxa"/>
          </w:tblCellMar>
        </w:tblPrEx>
        <w:trPr>
          <w:gridAfter w:val="17"/>
          <w:wAfter w:w="1166" w:type="dxa"/>
          <w:trHeight w:val="488"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大楼建筑规模</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大楼集办公、排练、演出为一体，共有10层</w:t>
            </w:r>
          </w:p>
        </w:tc>
      </w:tr>
      <w:tr>
        <w:tblPrEx>
          <w:tblLayout w:type="fixed"/>
          <w:tblCellMar>
            <w:top w:w="0" w:type="dxa"/>
            <w:left w:w="108" w:type="dxa"/>
            <w:bottom w:w="0" w:type="dxa"/>
            <w:right w:w="108" w:type="dxa"/>
          </w:tblCellMar>
        </w:tblPrEx>
        <w:trPr>
          <w:gridAfter w:val="17"/>
          <w:wAfter w:w="1166" w:type="dxa"/>
          <w:trHeight w:val="350"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供暖面积</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面积共计35325.07平方米，</w:t>
            </w:r>
          </w:p>
        </w:tc>
      </w:tr>
      <w:tr>
        <w:tblPrEx>
          <w:tblLayout w:type="fixed"/>
          <w:tblCellMar>
            <w:top w:w="0" w:type="dxa"/>
            <w:left w:w="108" w:type="dxa"/>
            <w:bottom w:w="0" w:type="dxa"/>
            <w:right w:w="108" w:type="dxa"/>
          </w:tblCellMar>
        </w:tblPrEx>
        <w:trPr>
          <w:gridAfter w:val="17"/>
          <w:wAfter w:w="1166" w:type="dxa"/>
          <w:trHeight w:val="270"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年资金规模</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每年我院有运行经费650万专项资金</w:t>
            </w:r>
          </w:p>
        </w:tc>
      </w:tr>
      <w:tr>
        <w:tblPrEx>
          <w:tblLayout w:type="fixed"/>
          <w:tblCellMar>
            <w:top w:w="0" w:type="dxa"/>
            <w:left w:w="108" w:type="dxa"/>
            <w:bottom w:w="0" w:type="dxa"/>
            <w:right w:w="108" w:type="dxa"/>
          </w:tblCellMar>
        </w:tblPrEx>
        <w:trPr>
          <w:gridAfter w:val="17"/>
          <w:wAfter w:w="1166" w:type="dxa"/>
          <w:trHeight w:val="499"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文明单位创建成功，卫生绿化环境等达标率</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r>
      <w:tr>
        <w:tblPrEx>
          <w:tblLayout w:type="fixed"/>
          <w:tblCellMar>
            <w:top w:w="0" w:type="dxa"/>
            <w:left w:w="108" w:type="dxa"/>
            <w:bottom w:w="0" w:type="dxa"/>
            <w:right w:w="108" w:type="dxa"/>
          </w:tblCellMar>
        </w:tblPrEx>
        <w:trPr>
          <w:gridAfter w:val="17"/>
          <w:wAfter w:w="1166" w:type="dxa"/>
          <w:trHeight w:val="425"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消防、安防、水电暖等设施工作完好率</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此项经费全力保障各项工作达标≥95%</w:t>
            </w:r>
          </w:p>
        </w:tc>
      </w:tr>
      <w:tr>
        <w:tblPrEx>
          <w:tblLayout w:type="fixed"/>
          <w:tblCellMar>
            <w:top w:w="0" w:type="dxa"/>
            <w:left w:w="108" w:type="dxa"/>
            <w:bottom w:w="0" w:type="dxa"/>
            <w:right w:w="108" w:type="dxa"/>
          </w:tblCellMar>
        </w:tblPrEx>
        <w:trPr>
          <w:gridAfter w:val="17"/>
          <w:wAfter w:w="1166" w:type="dxa"/>
          <w:trHeight w:val="416" w:hRule="atLeast"/>
        </w:trPr>
        <w:tc>
          <w:tcPr>
            <w:tcW w:w="155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46"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项目发挥作用的可持续影响力</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为惠民演出提供保障,提升文化影响力100%</w:t>
            </w:r>
          </w:p>
        </w:tc>
      </w:tr>
      <w:tr>
        <w:tblPrEx>
          <w:tblLayout w:type="fixed"/>
          <w:tblCellMar>
            <w:top w:w="0" w:type="dxa"/>
            <w:left w:w="108" w:type="dxa"/>
            <w:bottom w:w="0" w:type="dxa"/>
            <w:right w:w="108" w:type="dxa"/>
          </w:tblCellMar>
        </w:tblPrEx>
        <w:trPr>
          <w:gridAfter w:val="17"/>
          <w:wAfter w:w="1166" w:type="dxa"/>
          <w:trHeight w:val="499" w:hRule="atLeast"/>
        </w:trPr>
        <w:tc>
          <w:tcPr>
            <w:tcW w:w="1554" w:type="dxa"/>
            <w:gridSpan w:val="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46"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创造文明、安全整洁的工作环境，为各项工作的开展提供保障</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各项工作完成率≥98%</w:t>
            </w:r>
          </w:p>
        </w:tc>
      </w:tr>
      <w:tr>
        <w:tblPrEx>
          <w:tblLayout w:type="fixed"/>
          <w:tblCellMar>
            <w:top w:w="0" w:type="dxa"/>
            <w:left w:w="108" w:type="dxa"/>
            <w:bottom w:w="0" w:type="dxa"/>
            <w:right w:w="108" w:type="dxa"/>
          </w:tblCellMar>
        </w:tblPrEx>
        <w:trPr>
          <w:gridAfter w:val="17"/>
          <w:wAfter w:w="1166" w:type="dxa"/>
          <w:trHeight w:val="499" w:hRule="atLeast"/>
        </w:trPr>
        <w:tc>
          <w:tcPr>
            <w:tcW w:w="1554" w:type="dxa"/>
            <w:gridSpan w:val="3"/>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46"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787"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认可度</w:t>
            </w:r>
          </w:p>
        </w:tc>
        <w:tc>
          <w:tcPr>
            <w:tcW w:w="421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得到了99%以上职工的认可与好评</w:t>
            </w:r>
          </w:p>
        </w:tc>
      </w:tr>
      <w:tr>
        <w:tblPrEx>
          <w:tblLayout w:type="fixed"/>
          <w:tblCellMar>
            <w:top w:w="0" w:type="dxa"/>
            <w:left w:w="108" w:type="dxa"/>
            <w:bottom w:w="0" w:type="dxa"/>
            <w:right w:w="108" w:type="dxa"/>
          </w:tblCellMar>
        </w:tblPrEx>
        <w:trPr>
          <w:gridAfter w:val="2"/>
          <w:wAfter w:w="236" w:type="dxa"/>
          <w:trHeight w:val="360" w:hRule="atLeast"/>
        </w:trPr>
        <w:tc>
          <w:tcPr>
            <w:tcW w:w="14035" w:type="dxa"/>
            <w:gridSpan w:val="139"/>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2"/>
          <w:wAfter w:w="236" w:type="dxa"/>
          <w:trHeight w:val="360" w:hRule="atLeast"/>
        </w:trPr>
        <w:tc>
          <w:tcPr>
            <w:tcW w:w="1828"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488" w:type="dxa"/>
            <w:gridSpan w:val="1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207" w:type="dxa"/>
            <w:gridSpan w:val="1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99" w:type="dxa"/>
            <w:gridSpan w:val="27"/>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57"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744" w:type="dxa"/>
            <w:gridSpan w:val="1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650" w:type="dxa"/>
            <w:gridSpan w:val="20"/>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572"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784" w:type="dxa"/>
            <w:gridSpan w:val="1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97"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709" w:type="dxa"/>
            <w:gridSpan w:val="2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2"/>
          <w:wAfter w:w="236" w:type="dxa"/>
          <w:trHeight w:val="419" w:hRule="atLeast"/>
        </w:trPr>
        <w:tc>
          <w:tcPr>
            <w:tcW w:w="182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195" w:type="dxa"/>
            <w:gridSpan w:val="6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新疆艺术剧院歌舞团</w:t>
            </w:r>
          </w:p>
        </w:tc>
        <w:tc>
          <w:tcPr>
            <w:tcW w:w="1650"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362" w:type="dxa"/>
            <w:gridSpan w:val="4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自治区本级政府购买演出</w:t>
            </w:r>
          </w:p>
        </w:tc>
      </w:tr>
      <w:tr>
        <w:tblPrEx>
          <w:tblLayout w:type="fixed"/>
          <w:tblCellMar>
            <w:top w:w="0" w:type="dxa"/>
            <w:left w:w="108" w:type="dxa"/>
            <w:bottom w:w="0" w:type="dxa"/>
            <w:right w:w="108" w:type="dxa"/>
          </w:tblCellMar>
        </w:tblPrEx>
        <w:trPr>
          <w:gridAfter w:val="2"/>
          <w:wAfter w:w="236" w:type="dxa"/>
          <w:trHeight w:val="385" w:hRule="atLeast"/>
        </w:trPr>
        <w:tc>
          <w:tcPr>
            <w:tcW w:w="182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695" w:type="dxa"/>
            <w:gridSpan w:val="2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023"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347</w:t>
            </w:r>
          </w:p>
        </w:tc>
        <w:tc>
          <w:tcPr>
            <w:tcW w:w="2477" w:type="dxa"/>
            <w:gridSpan w:val="3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650" w:type="dxa"/>
            <w:gridSpan w:val="20"/>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347</w:t>
            </w:r>
          </w:p>
        </w:tc>
        <w:tc>
          <w:tcPr>
            <w:tcW w:w="2356" w:type="dxa"/>
            <w:gridSpan w:val="2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006"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2"/>
          <w:wAfter w:w="236" w:type="dxa"/>
          <w:trHeight w:val="1215" w:hRule="atLeast"/>
        </w:trPr>
        <w:tc>
          <w:tcPr>
            <w:tcW w:w="182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207" w:type="dxa"/>
            <w:gridSpan w:val="1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为贯彻落实中央深化国有文艺院团体制改革的精神，进一步推进自治区级文艺院团体制机制创新，理顺各院团经费保障渠道，保证各院团演出活动的正常运转，调动演职人员的积极性，提升演出质量，增强其公共文化服务能力，自治区建立区级文艺院团政府购买演出机制。政府购买演出补助资金优先用于自治区级文艺院团在职人员绩效工资发放和缴纳基本养老保险、职业年金，并可用于演出活动所产生的节目创作、演出服装购置、演出设备租用和维护等开支建立政府购买演出机制后，可以弥补职工绩效工资及社保缴费的不足。</w:t>
            </w:r>
          </w:p>
        </w:tc>
      </w:tr>
      <w:tr>
        <w:tblPrEx>
          <w:tblLayout w:type="fixed"/>
          <w:tblCellMar>
            <w:top w:w="0" w:type="dxa"/>
            <w:left w:w="108" w:type="dxa"/>
            <w:bottom w:w="0" w:type="dxa"/>
            <w:right w:w="108" w:type="dxa"/>
          </w:tblCellMar>
        </w:tblPrEx>
        <w:trPr>
          <w:gridAfter w:val="2"/>
          <w:wAfter w:w="236" w:type="dxa"/>
          <w:trHeight w:val="293" w:hRule="atLeast"/>
        </w:trPr>
        <w:tc>
          <w:tcPr>
            <w:tcW w:w="1828" w:type="dxa"/>
            <w:gridSpan w:val="6"/>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488"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2"/>
          <w:wAfter w:w="236" w:type="dxa"/>
          <w:trHeight w:val="256" w:hRule="atLeast"/>
        </w:trPr>
        <w:tc>
          <w:tcPr>
            <w:tcW w:w="1828"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488"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2019年12月30日前演出完毕</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266" w:hRule="atLeast"/>
        </w:trPr>
        <w:tc>
          <w:tcPr>
            <w:tcW w:w="182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488"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大型演出16场</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287" w:hRule="atLeast"/>
        </w:trPr>
        <w:tc>
          <w:tcPr>
            <w:tcW w:w="182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48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小型演出303场</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264" w:hRule="atLeast"/>
        </w:trPr>
        <w:tc>
          <w:tcPr>
            <w:tcW w:w="182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48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中型演出10场</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256" w:hRule="atLeast"/>
        </w:trPr>
        <w:tc>
          <w:tcPr>
            <w:tcW w:w="182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488"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经典节目（获全国级奖项节目）大于等于2人</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412" w:hRule="atLeast"/>
        </w:trPr>
        <w:tc>
          <w:tcPr>
            <w:tcW w:w="182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48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每场演出副高以上职称演员大于等于3人</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269" w:hRule="atLeast"/>
        </w:trPr>
        <w:tc>
          <w:tcPr>
            <w:tcW w:w="1828"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488"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贫困地区覆盖率</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410" w:hRule="atLeast"/>
        </w:trPr>
        <w:tc>
          <w:tcPr>
            <w:tcW w:w="182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48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演出报道100篇通讯稿</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310" w:hRule="atLeast"/>
        </w:trPr>
        <w:tc>
          <w:tcPr>
            <w:tcW w:w="182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48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演出场次</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559" w:hRule="atLeast"/>
        </w:trPr>
        <w:tc>
          <w:tcPr>
            <w:tcW w:w="1828" w:type="dxa"/>
            <w:gridSpan w:val="6"/>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488"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559" w:hRule="atLeast"/>
        </w:trPr>
        <w:tc>
          <w:tcPr>
            <w:tcW w:w="1828" w:type="dxa"/>
            <w:gridSpan w:val="6"/>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488"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06" w:type="dxa"/>
            <w:gridSpan w:val="7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完成率</w:t>
            </w:r>
          </w:p>
        </w:tc>
        <w:tc>
          <w:tcPr>
            <w:tcW w:w="4113" w:type="dxa"/>
            <w:gridSpan w:val="4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2"/>
          <w:wAfter w:w="236" w:type="dxa"/>
          <w:trHeight w:val="360" w:hRule="atLeast"/>
        </w:trPr>
        <w:tc>
          <w:tcPr>
            <w:tcW w:w="14035" w:type="dxa"/>
            <w:gridSpan w:val="139"/>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2"/>
          <w:wAfter w:w="236" w:type="dxa"/>
          <w:trHeight w:val="360" w:hRule="atLeast"/>
        </w:trPr>
        <w:tc>
          <w:tcPr>
            <w:tcW w:w="1762"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861" w:type="dxa"/>
            <w:gridSpan w:val="1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222" w:type="dxa"/>
            <w:gridSpan w:val="1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954" w:type="dxa"/>
            <w:gridSpan w:val="2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28"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543"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821" w:type="dxa"/>
            <w:gridSpan w:val="2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78"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468" w:type="dxa"/>
            <w:gridSpan w:val="2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79"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519" w:type="dxa"/>
            <w:gridSpan w:val="2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2"/>
          <w:wAfter w:w="236" w:type="dxa"/>
          <w:trHeight w:val="600" w:hRule="atLeast"/>
        </w:trPr>
        <w:tc>
          <w:tcPr>
            <w:tcW w:w="17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908" w:type="dxa"/>
            <w:gridSpan w:val="5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新疆艺术剧院歌剧团</w:t>
            </w:r>
          </w:p>
        </w:tc>
        <w:tc>
          <w:tcPr>
            <w:tcW w:w="1821"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544" w:type="dxa"/>
            <w:gridSpan w:val="5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自治区本级政府购买演出</w:t>
            </w:r>
          </w:p>
        </w:tc>
      </w:tr>
      <w:tr>
        <w:tblPrEx>
          <w:tblLayout w:type="fixed"/>
          <w:tblCellMar>
            <w:top w:w="0" w:type="dxa"/>
            <w:left w:w="108" w:type="dxa"/>
            <w:bottom w:w="0" w:type="dxa"/>
            <w:right w:w="108" w:type="dxa"/>
          </w:tblCellMar>
        </w:tblPrEx>
        <w:trPr>
          <w:gridAfter w:val="2"/>
          <w:wAfter w:w="236" w:type="dxa"/>
          <w:trHeight w:val="600" w:hRule="atLeast"/>
        </w:trPr>
        <w:tc>
          <w:tcPr>
            <w:tcW w:w="1762" w:type="dxa"/>
            <w:gridSpan w:val="5"/>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083"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349"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260</w:t>
            </w:r>
          </w:p>
        </w:tc>
        <w:tc>
          <w:tcPr>
            <w:tcW w:w="1476" w:type="dxa"/>
            <w:gridSpan w:val="1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821" w:type="dxa"/>
            <w:gridSpan w:val="2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260</w:t>
            </w:r>
          </w:p>
        </w:tc>
        <w:tc>
          <w:tcPr>
            <w:tcW w:w="2746"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798"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2"/>
          <w:wAfter w:w="236" w:type="dxa"/>
          <w:trHeight w:val="478" w:hRule="atLeast"/>
        </w:trPr>
        <w:tc>
          <w:tcPr>
            <w:tcW w:w="1762" w:type="dxa"/>
            <w:gridSpan w:val="5"/>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273" w:type="dxa"/>
            <w:gridSpan w:val="13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自治区区级文艺院团政府购买演出，我团积极开展文艺演出工作，深入基层，走向四地州，面向基层各族群众的进行公益演出。</w:t>
            </w:r>
          </w:p>
        </w:tc>
      </w:tr>
      <w:tr>
        <w:tblPrEx>
          <w:tblLayout w:type="fixed"/>
          <w:tblCellMar>
            <w:top w:w="0" w:type="dxa"/>
            <w:left w:w="108" w:type="dxa"/>
            <w:bottom w:w="0" w:type="dxa"/>
            <w:right w:w="108" w:type="dxa"/>
          </w:tblCellMar>
        </w:tblPrEx>
        <w:trPr>
          <w:gridAfter w:val="2"/>
          <w:wAfter w:w="236" w:type="dxa"/>
          <w:trHeight w:val="286" w:hRule="atLeast"/>
        </w:trPr>
        <w:tc>
          <w:tcPr>
            <w:tcW w:w="1762" w:type="dxa"/>
            <w:gridSpan w:val="5"/>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61"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2"/>
          <w:wAfter w:w="236" w:type="dxa"/>
          <w:trHeight w:val="518" w:hRule="atLeast"/>
        </w:trPr>
        <w:tc>
          <w:tcPr>
            <w:tcW w:w="1762" w:type="dxa"/>
            <w:gridSpan w:val="5"/>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61"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2019年12月30日前演出完毕</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328" w:hRule="atLeast"/>
        </w:trPr>
        <w:tc>
          <w:tcPr>
            <w:tcW w:w="1762" w:type="dxa"/>
            <w:gridSpan w:val="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61"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大型演出30场</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600" w:hRule="atLeast"/>
        </w:trPr>
        <w:tc>
          <w:tcPr>
            <w:tcW w:w="1762" w:type="dxa"/>
            <w:gridSpan w:val="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61"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经典节目（获全国级奖项节目）≥2个</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600" w:hRule="atLeast"/>
        </w:trPr>
        <w:tc>
          <w:tcPr>
            <w:tcW w:w="1762" w:type="dxa"/>
            <w:gridSpan w:val="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61"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每场演出副高以上职称演员≥3人</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600" w:hRule="atLeast"/>
        </w:trPr>
        <w:tc>
          <w:tcPr>
            <w:tcW w:w="1762" w:type="dxa"/>
            <w:gridSpan w:val="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61"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小型演出350场</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448" w:hRule="atLeast"/>
        </w:trPr>
        <w:tc>
          <w:tcPr>
            <w:tcW w:w="1762" w:type="dxa"/>
            <w:gridSpan w:val="5"/>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61"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贫困地区覆盖率</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600" w:hRule="atLeast"/>
        </w:trPr>
        <w:tc>
          <w:tcPr>
            <w:tcW w:w="1762" w:type="dxa"/>
            <w:gridSpan w:val="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61"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演出报道100篇通讯稿</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360" w:hRule="atLeast"/>
        </w:trPr>
        <w:tc>
          <w:tcPr>
            <w:tcW w:w="1762" w:type="dxa"/>
            <w:gridSpan w:val="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61"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演出场次</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266" w:hRule="atLeast"/>
        </w:trPr>
        <w:tc>
          <w:tcPr>
            <w:tcW w:w="1762" w:type="dxa"/>
            <w:gridSpan w:val="5"/>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61" w:type="dxa"/>
            <w:gridSpan w:val="1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
          <w:wAfter w:w="236" w:type="dxa"/>
          <w:trHeight w:val="600" w:hRule="atLeast"/>
        </w:trPr>
        <w:tc>
          <w:tcPr>
            <w:tcW w:w="1762" w:type="dxa"/>
            <w:gridSpan w:val="5"/>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861" w:type="dxa"/>
            <w:gridSpan w:val="1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146" w:type="dxa"/>
            <w:gridSpan w:val="7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完成率</w:t>
            </w:r>
          </w:p>
        </w:tc>
        <w:tc>
          <w:tcPr>
            <w:tcW w:w="4266"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21"/>
          <w:wAfter w:w="1559" w:type="dxa"/>
          <w:trHeight w:val="360" w:hRule="atLeast"/>
        </w:trPr>
        <w:tc>
          <w:tcPr>
            <w:tcW w:w="12712" w:type="dxa"/>
            <w:gridSpan w:val="120"/>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
          <w:wAfter w:w="190" w:type="dxa"/>
          <w:trHeight w:val="360" w:hRule="atLeast"/>
        </w:trPr>
        <w:tc>
          <w:tcPr>
            <w:tcW w:w="2032" w:type="dxa"/>
            <w:gridSpan w:val="7"/>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640" w:type="dxa"/>
            <w:gridSpan w:val="1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080" w:type="dxa"/>
            <w:gridSpan w:val="10"/>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3245" w:type="dxa"/>
            <w:gridSpan w:val="39"/>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648" w:type="dxa"/>
            <w:gridSpan w:val="9"/>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22"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728" w:type="dxa"/>
            <w:gridSpan w:val="18"/>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22"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820" w:type="dxa"/>
            <w:gridSpan w:val="28"/>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22"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90" w:type="dxa"/>
          <w:trHeight w:val="600" w:hRule="atLeast"/>
        </w:trPr>
        <w:tc>
          <w:tcPr>
            <w:tcW w:w="20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835" w:type="dxa"/>
            <w:gridSpan w:val="7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新疆艺术剧院管弦乐团（新疆爱乐乐团）</w:t>
            </w:r>
          </w:p>
        </w:tc>
        <w:tc>
          <w:tcPr>
            <w:tcW w:w="1728" w:type="dxa"/>
            <w:gridSpan w:val="1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486" w:type="dxa"/>
            <w:gridSpan w:val="4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自治区本级政府购买演出</w:t>
            </w:r>
          </w:p>
        </w:tc>
      </w:tr>
      <w:tr>
        <w:tblPrEx>
          <w:tblLayout w:type="fixed"/>
          <w:tblCellMar>
            <w:top w:w="0" w:type="dxa"/>
            <w:left w:w="108" w:type="dxa"/>
            <w:bottom w:w="0" w:type="dxa"/>
            <w:right w:w="108" w:type="dxa"/>
          </w:tblCellMar>
        </w:tblPrEx>
        <w:trPr>
          <w:gridAfter w:val="1"/>
          <w:wAfter w:w="190" w:type="dxa"/>
          <w:trHeight w:val="600" w:hRule="atLeast"/>
        </w:trPr>
        <w:tc>
          <w:tcPr>
            <w:tcW w:w="2032"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720"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864" w:type="dxa"/>
            <w:gridSpan w:val="10"/>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164</w:t>
            </w:r>
          </w:p>
        </w:tc>
        <w:tc>
          <w:tcPr>
            <w:tcW w:w="3251" w:type="dxa"/>
            <w:gridSpan w:val="4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728" w:type="dxa"/>
            <w:gridSpan w:val="1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164</w:t>
            </w:r>
          </w:p>
        </w:tc>
        <w:tc>
          <w:tcPr>
            <w:tcW w:w="2832"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654"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
          <w:wAfter w:w="190" w:type="dxa"/>
          <w:trHeight w:val="619" w:hRule="atLeast"/>
        </w:trPr>
        <w:tc>
          <w:tcPr>
            <w:tcW w:w="2032"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049" w:type="dxa"/>
            <w:gridSpan w:val="1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根据《中共中央关于繁荣发展社会主义文艺的意见》（2015年10月3日）文件要求和党的十九大精神“推动文化事业和文化产业发展，满足人民过上美好生活的新期待” 。</w:t>
            </w:r>
          </w:p>
        </w:tc>
      </w:tr>
      <w:tr>
        <w:tblPrEx>
          <w:tblLayout w:type="fixed"/>
          <w:tblCellMar>
            <w:top w:w="0" w:type="dxa"/>
            <w:left w:w="108" w:type="dxa"/>
            <w:bottom w:w="0" w:type="dxa"/>
            <w:right w:w="108" w:type="dxa"/>
          </w:tblCellMar>
        </w:tblPrEx>
        <w:trPr>
          <w:gridAfter w:val="1"/>
          <w:wAfter w:w="190" w:type="dxa"/>
          <w:trHeight w:val="559" w:hRule="atLeast"/>
        </w:trPr>
        <w:tc>
          <w:tcPr>
            <w:tcW w:w="2032"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640"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
          <w:wAfter w:w="190" w:type="dxa"/>
          <w:trHeight w:val="410" w:hRule="atLeast"/>
        </w:trPr>
        <w:tc>
          <w:tcPr>
            <w:tcW w:w="2032" w:type="dxa"/>
            <w:gridSpan w:val="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640"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2019年12月30日前完成演出</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262"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演出场次</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412"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大型演出12场</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559"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小型演出75场</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400"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中型演出0场</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559"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经典节目（获全国奖项节目）≥2个</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392"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每场演出副高以上职称演员≥3人</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408" w:hRule="atLeast"/>
        </w:trPr>
        <w:tc>
          <w:tcPr>
            <w:tcW w:w="2032" w:type="dxa"/>
            <w:gridSpan w:val="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640"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贫困地区覆盖率</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392"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演出报道100篇通讯稿</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271" w:hRule="atLeast"/>
        </w:trPr>
        <w:tc>
          <w:tcPr>
            <w:tcW w:w="2032" w:type="dxa"/>
            <w:gridSpan w:val="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640" w:type="dxa"/>
            <w:gridSpan w:val="1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
          <w:wAfter w:w="190" w:type="dxa"/>
          <w:trHeight w:val="559"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3"/>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7145" w:type="dxa"/>
            <w:gridSpan w:val="8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完成率</w:t>
            </w:r>
          </w:p>
        </w:tc>
        <w:tc>
          <w:tcPr>
            <w:tcW w:w="3264"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大于等于90%</w:t>
            </w:r>
          </w:p>
        </w:tc>
      </w:tr>
      <w:tr>
        <w:tblPrEx>
          <w:tblLayout w:type="fixed"/>
          <w:tblCellMar>
            <w:top w:w="0" w:type="dxa"/>
            <w:left w:w="108" w:type="dxa"/>
            <w:bottom w:w="0" w:type="dxa"/>
            <w:right w:w="108" w:type="dxa"/>
          </w:tblCellMar>
        </w:tblPrEx>
        <w:trPr>
          <w:gridAfter w:val="13"/>
          <w:wAfter w:w="844" w:type="dxa"/>
          <w:trHeight w:val="360" w:hRule="atLeast"/>
        </w:trPr>
        <w:tc>
          <w:tcPr>
            <w:tcW w:w="13427" w:type="dxa"/>
            <w:gridSpan w:val="12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3"/>
          <w:wAfter w:w="844" w:type="dxa"/>
          <w:trHeight w:val="360" w:hRule="atLeast"/>
        </w:trPr>
        <w:tc>
          <w:tcPr>
            <w:tcW w:w="1384" w:type="dxa"/>
            <w:gridSpan w:val="2"/>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640" w:type="dxa"/>
            <w:gridSpan w:val="12"/>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080" w:type="dxa"/>
            <w:gridSpan w:val="10"/>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728" w:type="dxa"/>
            <w:gridSpan w:val="18"/>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432"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432"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603" w:type="dxa"/>
            <w:gridSpan w:val="36"/>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648" w:type="dxa"/>
            <w:gridSpan w:val="7"/>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950" w:type="dxa"/>
            <w:gridSpan w:val="18"/>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308" w:type="dxa"/>
            <w:gridSpan w:val="14"/>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22"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3"/>
          <w:wAfter w:w="844" w:type="dxa"/>
          <w:trHeight w:val="600" w:hRule="atLeast"/>
        </w:trPr>
        <w:tc>
          <w:tcPr>
            <w:tcW w:w="13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312" w:type="dxa"/>
            <w:gridSpan w:val="4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新疆艺术剧院民族乐团（新疆民乐团）</w:t>
            </w:r>
          </w:p>
        </w:tc>
        <w:tc>
          <w:tcPr>
            <w:tcW w:w="2603" w:type="dxa"/>
            <w:gridSpan w:val="3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128"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自治区政府购买文化演出项目</w:t>
            </w:r>
          </w:p>
        </w:tc>
      </w:tr>
      <w:tr>
        <w:tblPrEx>
          <w:tblLayout w:type="fixed"/>
          <w:tblCellMar>
            <w:top w:w="0" w:type="dxa"/>
            <w:left w:w="108" w:type="dxa"/>
            <w:bottom w:w="0" w:type="dxa"/>
            <w:right w:w="108" w:type="dxa"/>
          </w:tblCellMar>
        </w:tblPrEx>
        <w:trPr>
          <w:gridAfter w:val="13"/>
          <w:wAfter w:w="844" w:type="dxa"/>
          <w:trHeight w:val="600" w:hRule="atLeast"/>
        </w:trPr>
        <w:tc>
          <w:tcPr>
            <w:tcW w:w="138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720" w:type="dxa"/>
            <w:gridSpan w:val="2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080"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109</w:t>
            </w:r>
          </w:p>
        </w:tc>
        <w:tc>
          <w:tcPr>
            <w:tcW w:w="1512"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2603" w:type="dxa"/>
            <w:gridSpan w:val="36"/>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109</w:t>
            </w:r>
          </w:p>
        </w:tc>
        <w:tc>
          <w:tcPr>
            <w:tcW w:w="1950" w:type="dxa"/>
            <w:gridSpan w:val="2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178"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3"/>
          <w:wAfter w:w="844" w:type="dxa"/>
          <w:trHeight w:val="619" w:hRule="atLeast"/>
        </w:trPr>
        <w:tc>
          <w:tcPr>
            <w:tcW w:w="138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2043" w:type="dxa"/>
            <w:gridSpan w:val="12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根据《中共中央关于繁荣发展社会主义文艺的意见》（2015年10月3日）文件要求和党的十九大精神“推动文化事业和文化产业发展满足人民过上美好生活的新期待” 。</w:t>
            </w:r>
          </w:p>
        </w:tc>
      </w:tr>
      <w:tr>
        <w:tblPrEx>
          <w:tblLayout w:type="fixed"/>
          <w:tblCellMar>
            <w:top w:w="0" w:type="dxa"/>
            <w:left w:w="108" w:type="dxa"/>
            <w:bottom w:w="0" w:type="dxa"/>
            <w:right w:w="108" w:type="dxa"/>
          </w:tblCellMar>
        </w:tblPrEx>
        <w:trPr>
          <w:gridAfter w:val="13"/>
          <w:wAfter w:w="844" w:type="dxa"/>
          <w:trHeight w:val="416" w:hRule="atLeast"/>
        </w:trPr>
        <w:tc>
          <w:tcPr>
            <w:tcW w:w="1384"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640"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3"/>
          <w:wAfter w:w="844" w:type="dxa"/>
          <w:trHeight w:val="408" w:hRule="atLeast"/>
        </w:trPr>
        <w:tc>
          <w:tcPr>
            <w:tcW w:w="138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640"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2019年12月30日前演出完毕</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286" w:hRule="atLeast"/>
        </w:trPr>
        <w:tc>
          <w:tcPr>
            <w:tcW w:w="1384"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大型演出5场次</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376" w:hRule="atLeast"/>
        </w:trPr>
        <w:tc>
          <w:tcPr>
            <w:tcW w:w="1384"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小型演出120场次</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600" w:hRule="atLeast"/>
        </w:trPr>
        <w:tc>
          <w:tcPr>
            <w:tcW w:w="1384"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经典节目（获全国级奖项节目）≥2个</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600" w:hRule="atLeast"/>
        </w:trPr>
        <w:tc>
          <w:tcPr>
            <w:tcW w:w="1384"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每场演出副高以上职称演员≥3人</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470" w:hRule="atLeast"/>
        </w:trPr>
        <w:tc>
          <w:tcPr>
            <w:tcW w:w="138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贫困地区覆盖率</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420" w:hRule="atLeast"/>
        </w:trPr>
        <w:tc>
          <w:tcPr>
            <w:tcW w:w="1384"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演出报道20篇通讯稿</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412" w:hRule="atLeast"/>
        </w:trPr>
        <w:tc>
          <w:tcPr>
            <w:tcW w:w="1384"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演出场次</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600" w:hRule="atLeast"/>
        </w:trPr>
        <w:tc>
          <w:tcPr>
            <w:tcW w:w="138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3"/>
          <w:wAfter w:w="844" w:type="dxa"/>
          <w:trHeight w:val="600" w:hRule="atLeast"/>
        </w:trPr>
        <w:tc>
          <w:tcPr>
            <w:tcW w:w="1384" w:type="dxa"/>
            <w:gridSpan w:val="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923" w:type="dxa"/>
            <w:gridSpan w:val="7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完成率</w:t>
            </w:r>
          </w:p>
        </w:tc>
        <w:tc>
          <w:tcPr>
            <w:tcW w:w="3480" w:type="dxa"/>
            <w:gridSpan w:val="3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360" w:hRule="atLeast"/>
        </w:trPr>
        <w:tc>
          <w:tcPr>
            <w:tcW w:w="12989" w:type="dxa"/>
            <w:gridSpan w:val="122"/>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9"/>
          <w:wAfter w:w="1282" w:type="dxa"/>
          <w:trHeight w:val="360" w:hRule="atLeast"/>
        </w:trPr>
        <w:tc>
          <w:tcPr>
            <w:tcW w:w="1600" w:type="dxa"/>
            <w:gridSpan w:val="4"/>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640" w:type="dxa"/>
            <w:gridSpan w:val="12"/>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605" w:type="dxa"/>
            <w:gridSpan w:val="16"/>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203" w:type="dxa"/>
            <w:gridSpan w:val="1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432" w:type="dxa"/>
            <w:gridSpan w:val="3"/>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653" w:type="dxa"/>
            <w:gridSpan w:val="10"/>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1950" w:type="dxa"/>
            <w:gridSpan w:val="2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432" w:type="dxa"/>
            <w:gridSpan w:val="6"/>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2166" w:type="dxa"/>
            <w:gridSpan w:val="21"/>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648" w:type="dxa"/>
            <w:gridSpan w:val="5"/>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660"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9"/>
          <w:wAfter w:w="1282" w:type="dxa"/>
          <w:trHeight w:val="600" w:hRule="atLeast"/>
        </w:trPr>
        <w:tc>
          <w:tcPr>
            <w:tcW w:w="1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533" w:type="dxa"/>
            <w:gridSpan w:val="5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新疆艺术剧院话剧团</w:t>
            </w:r>
          </w:p>
        </w:tc>
        <w:tc>
          <w:tcPr>
            <w:tcW w:w="1950"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906" w:type="dxa"/>
            <w:gridSpan w:val="3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话剧团政府购买演出经费</w:t>
            </w:r>
          </w:p>
        </w:tc>
      </w:tr>
      <w:tr>
        <w:tblPrEx>
          <w:tblLayout w:type="fixed"/>
          <w:tblCellMar>
            <w:top w:w="0" w:type="dxa"/>
            <w:left w:w="108" w:type="dxa"/>
            <w:bottom w:w="0" w:type="dxa"/>
            <w:right w:w="108" w:type="dxa"/>
          </w:tblCellMar>
        </w:tblPrEx>
        <w:trPr>
          <w:gridAfter w:val="19"/>
          <w:wAfter w:w="1282" w:type="dxa"/>
          <w:trHeight w:val="600" w:hRule="atLeast"/>
        </w:trPr>
        <w:tc>
          <w:tcPr>
            <w:tcW w:w="160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245" w:type="dxa"/>
            <w:gridSpan w:val="2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555" w:type="dxa"/>
            <w:gridSpan w:val="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1733" w:type="dxa"/>
            <w:gridSpan w:val="2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50" w:type="dxa"/>
            <w:gridSpan w:val="25"/>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208</w:t>
            </w:r>
          </w:p>
        </w:tc>
        <w:tc>
          <w:tcPr>
            <w:tcW w:w="1950" w:type="dxa"/>
            <w:gridSpan w:val="2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956" w:type="dxa"/>
            <w:gridSpan w:val="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9"/>
          <w:wAfter w:w="1282" w:type="dxa"/>
          <w:trHeight w:val="619" w:hRule="atLeast"/>
        </w:trPr>
        <w:tc>
          <w:tcPr>
            <w:tcW w:w="160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389" w:type="dxa"/>
            <w:gridSpan w:val="11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根据《中共中央关于繁荣发展社会主义文艺的意见》（2015年10月3日）文件要求和党的十九大精神“推动文化事业和文化产业发展满足人民过上美好生活的新期待” 。</w:t>
            </w:r>
          </w:p>
        </w:tc>
      </w:tr>
      <w:tr>
        <w:tblPrEx>
          <w:tblLayout w:type="fixed"/>
          <w:tblCellMar>
            <w:top w:w="0" w:type="dxa"/>
            <w:left w:w="108" w:type="dxa"/>
            <w:bottom w:w="0" w:type="dxa"/>
            <w:right w:w="108" w:type="dxa"/>
          </w:tblCellMar>
        </w:tblPrEx>
        <w:trPr>
          <w:gridAfter w:val="19"/>
          <w:wAfter w:w="1282" w:type="dxa"/>
          <w:trHeight w:val="416" w:hRule="atLeast"/>
        </w:trPr>
        <w:tc>
          <w:tcPr>
            <w:tcW w:w="1600" w:type="dxa"/>
            <w:gridSpan w:val="4"/>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640"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9"/>
          <w:wAfter w:w="1282" w:type="dxa"/>
          <w:trHeight w:val="600" w:hRule="atLeast"/>
        </w:trPr>
        <w:tc>
          <w:tcPr>
            <w:tcW w:w="1600"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640"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2019年12月30日前演出完毕</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1600"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观看演出人次7万人次</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429" w:hRule="atLeast"/>
        </w:trPr>
        <w:tc>
          <w:tcPr>
            <w:tcW w:w="1600"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小型演出150场</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1600"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每场演出副高以上职称演员≥3人</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514" w:hRule="atLeast"/>
        </w:trPr>
        <w:tc>
          <w:tcPr>
            <w:tcW w:w="1600"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贫困地区覆盖率</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1600"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演出报道50篇通讯稿</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291" w:hRule="atLeast"/>
        </w:trPr>
        <w:tc>
          <w:tcPr>
            <w:tcW w:w="1600"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演出场次</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1600"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1600" w:type="dxa"/>
            <w:gridSpan w:val="4"/>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75"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完成率</w:t>
            </w:r>
          </w:p>
        </w:tc>
        <w:tc>
          <w:tcPr>
            <w:tcW w:w="3474" w:type="dxa"/>
            <w:gridSpan w:val="3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360" w:hRule="atLeast"/>
        </w:trPr>
        <w:tc>
          <w:tcPr>
            <w:tcW w:w="12989" w:type="dxa"/>
            <w:gridSpan w:val="122"/>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trHeight w:val="360" w:hRule="atLeast"/>
        </w:trPr>
        <w:tc>
          <w:tcPr>
            <w:tcW w:w="2248" w:type="dxa"/>
            <w:gridSpan w:val="10"/>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640" w:type="dxa"/>
            <w:gridSpan w:val="1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080" w:type="dxa"/>
            <w:gridSpan w:val="1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81" w:type="dxa"/>
            <w:gridSpan w:val="28"/>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432"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432"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734" w:type="dxa"/>
            <w:gridSpan w:val="2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2"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76" w:type="dxa"/>
            <w:gridSpan w:val="23"/>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490" w:type="dxa"/>
            <w:gridSpan w:val="21"/>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6"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9"/>
          <w:wAfter w:w="1282" w:type="dxa"/>
          <w:trHeight w:val="600" w:hRule="atLeast"/>
        </w:trPr>
        <w:tc>
          <w:tcPr>
            <w:tcW w:w="22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965" w:type="dxa"/>
            <w:gridSpan w:val="6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新疆艺术剧院木卡姆艺术团</w:t>
            </w:r>
          </w:p>
        </w:tc>
        <w:tc>
          <w:tcPr>
            <w:tcW w:w="1734" w:type="dxa"/>
            <w:gridSpan w:val="2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042"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木卡姆团政府购买演出经费</w:t>
            </w:r>
          </w:p>
        </w:tc>
      </w:tr>
      <w:tr>
        <w:tblPrEx>
          <w:tblLayout w:type="fixed"/>
          <w:tblCellMar>
            <w:top w:w="0" w:type="dxa"/>
            <w:left w:w="108" w:type="dxa"/>
            <w:bottom w:w="0" w:type="dxa"/>
            <w:right w:w="108" w:type="dxa"/>
          </w:tblCellMar>
        </w:tblPrEx>
        <w:trPr>
          <w:gridAfter w:val="19"/>
          <w:wAfter w:w="1282" w:type="dxa"/>
          <w:trHeight w:val="385" w:hRule="atLeast"/>
        </w:trPr>
        <w:tc>
          <w:tcPr>
            <w:tcW w:w="2248" w:type="dxa"/>
            <w:gridSpan w:val="10"/>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720" w:type="dxa"/>
            <w:gridSpan w:val="2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296" w:type="dxa"/>
            <w:gridSpan w:val="14"/>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390</w:t>
            </w:r>
          </w:p>
        </w:tc>
        <w:tc>
          <w:tcPr>
            <w:tcW w:w="1949"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734" w:type="dxa"/>
            <w:gridSpan w:val="2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390</w:t>
            </w:r>
          </w:p>
        </w:tc>
        <w:tc>
          <w:tcPr>
            <w:tcW w:w="2598"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44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9"/>
          <w:wAfter w:w="1282" w:type="dxa"/>
          <w:trHeight w:val="919" w:hRule="atLeast"/>
        </w:trPr>
        <w:tc>
          <w:tcPr>
            <w:tcW w:w="2248" w:type="dxa"/>
            <w:gridSpan w:val="10"/>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0741" w:type="dxa"/>
            <w:gridSpan w:val="1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根据《中共中央关于繁荣发展社会主义文艺的意见》（2015年10月3日）文件要求和党的十九大精神“推动文化事业和文化产业发展满足人民过上美好生活的新期待” 。</w:t>
            </w:r>
          </w:p>
        </w:tc>
      </w:tr>
      <w:tr>
        <w:tblPrEx>
          <w:tblLayout w:type="fixed"/>
          <w:tblCellMar>
            <w:top w:w="0" w:type="dxa"/>
            <w:left w:w="108" w:type="dxa"/>
            <w:bottom w:w="0" w:type="dxa"/>
            <w:right w:w="108" w:type="dxa"/>
          </w:tblCellMar>
        </w:tblPrEx>
        <w:trPr>
          <w:gridAfter w:val="19"/>
          <w:wAfter w:w="1282" w:type="dxa"/>
          <w:trHeight w:val="332" w:hRule="atLeast"/>
        </w:trPr>
        <w:tc>
          <w:tcPr>
            <w:tcW w:w="2248" w:type="dxa"/>
            <w:gridSpan w:val="10"/>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640"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9"/>
          <w:wAfter w:w="1282" w:type="dxa"/>
          <w:trHeight w:val="422" w:hRule="atLeast"/>
        </w:trPr>
        <w:tc>
          <w:tcPr>
            <w:tcW w:w="2248" w:type="dxa"/>
            <w:gridSpan w:val="10"/>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640"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2019年12月30日前演出完毕</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2248"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观看演出人次7万人次</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2248"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小型演出150场</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2248"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每场演出副高以上职称演员≥3人</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386" w:hRule="atLeast"/>
        </w:trPr>
        <w:tc>
          <w:tcPr>
            <w:tcW w:w="2248" w:type="dxa"/>
            <w:gridSpan w:val="10"/>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贫困地区覆盖率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2248"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演出报道50篇通讯稿</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372" w:hRule="atLeast"/>
        </w:trPr>
        <w:tc>
          <w:tcPr>
            <w:tcW w:w="2248"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演出场次</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2248" w:type="dxa"/>
            <w:gridSpan w:val="10"/>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640" w:type="dxa"/>
            <w:gridSpan w:val="1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600" w:hRule="atLeast"/>
        </w:trPr>
        <w:tc>
          <w:tcPr>
            <w:tcW w:w="2248" w:type="dxa"/>
            <w:gridSpan w:val="10"/>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640" w:type="dxa"/>
            <w:gridSpan w:val="12"/>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281" w:type="dxa"/>
            <w:gridSpan w:val="7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9"/>
          <w:wAfter w:w="1282" w:type="dxa"/>
          <w:trHeight w:val="360" w:hRule="atLeast"/>
        </w:trPr>
        <w:tc>
          <w:tcPr>
            <w:tcW w:w="12989" w:type="dxa"/>
            <w:gridSpan w:val="122"/>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9"/>
          <w:wAfter w:w="1282" w:type="dxa"/>
          <w:trHeight w:val="274" w:hRule="atLeast"/>
        </w:trPr>
        <w:tc>
          <w:tcPr>
            <w:tcW w:w="20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181" w:type="dxa"/>
            <w:gridSpan w:val="6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新疆艺术剧院木卡姆艺术团</w:t>
            </w:r>
          </w:p>
        </w:tc>
        <w:tc>
          <w:tcPr>
            <w:tcW w:w="1734" w:type="dxa"/>
            <w:gridSpan w:val="2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042" w:type="dxa"/>
            <w:gridSpan w:val="29"/>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木卡姆团综合业务楼运行补助</w:t>
            </w:r>
          </w:p>
        </w:tc>
      </w:tr>
      <w:tr>
        <w:tblPrEx>
          <w:tblLayout w:type="fixed"/>
          <w:tblCellMar>
            <w:top w:w="0" w:type="dxa"/>
            <w:left w:w="108" w:type="dxa"/>
            <w:bottom w:w="0" w:type="dxa"/>
            <w:right w:w="108" w:type="dxa"/>
          </w:tblCellMar>
        </w:tblPrEx>
        <w:trPr>
          <w:gridAfter w:val="19"/>
          <w:wAfter w:w="1282" w:type="dxa"/>
          <w:trHeight w:val="249" w:hRule="atLeast"/>
        </w:trPr>
        <w:tc>
          <w:tcPr>
            <w:tcW w:w="2032"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2936" w:type="dxa"/>
            <w:gridSpan w:val="2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813" w:type="dxa"/>
            <w:gridSpan w:val="19"/>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1432" w:type="dxa"/>
            <w:gridSpan w:val="20"/>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734" w:type="dxa"/>
            <w:gridSpan w:val="2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w:t>
            </w:r>
          </w:p>
        </w:tc>
        <w:tc>
          <w:tcPr>
            <w:tcW w:w="2598" w:type="dxa"/>
            <w:gridSpan w:val="2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444"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9"/>
          <w:wAfter w:w="1282" w:type="dxa"/>
          <w:trHeight w:val="1230" w:hRule="atLeast"/>
        </w:trPr>
        <w:tc>
          <w:tcPr>
            <w:tcW w:w="2032"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0957" w:type="dxa"/>
            <w:gridSpan w:val="11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财政拨付的运行经费可以有效的保障各部门正常运转，使办公、排练正常化，可以更好的发挥我区最大的艺术表演场所的功效我团综合业务楼集办公、排练、演出为一体，房屋建筑面积16962.05平方米运行经费200万元保障了我团综合业务楼的正常运转，为本单位的正常业务开展奠定了基础将围绕我团的中心工作提供保障和服务功能，预算将主要用于本团大楼水、电、暖、电梯维护、电气维护、消防维护、配电维护等基础设施方面的所需费用；保障大楼正常运转、物业所需保洁、保安、监控、水、电、暖工的人员费用及维护材料；舞美设施、设备、工具更新维护；本团基础实施设备维修改造，日常办公各项基本支出等。</w:t>
            </w:r>
          </w:p>
        </w:tc>
      </w:tr>
      <w:tr>
        <w:tblPrEx>
          <w:tblLayout w:type="fixed"/>
          <w:tblCellMar>
            <w:top w:w="0" w:type="dxa"/>
            <w:left w:w="108" w:type="dxa"/>
            <w:bottom w:w="0" w:type="dxa"/>
            <w:right w:w="108" w:type="dxa"/>
          </w:tblCellMar>
        </w:tblPrEx>
        <w:trPr>
          <w:gridAfter w:val="19"/>
          <w:wAfter w:w="1282" w:type="dxa"/>
          <w:trHeight w:val="151" w:hRule="atLeast"/>
        </w:trPr>
        <w:tc>
          <w:tcPr>
            <w:tcW w:w="2032"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527"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9"/>
          <w:wAfter w:w="1282" w:type="dxa"/>
          <w:trHeight w:val="254" w:hRule="atLeast"/>
        </w:trPr>
        <w:tc>
          <w:tcPr>
            <w:tcW w:w="2032" w:type="dxa"/>
            <w:gridSpan w:val="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527"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日常维修维护费用保障程度</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9"/>
          <w:wAfter w:w="1282" w:type="dxa"/>
          <w:trHeight w:val="230"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综合楼保安、保洁、水电维护人员工资按时发放完成率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9"/>
          <w:wAfter w:w="1282" w:type="dxa"/>
          <w:trHeight w:val="338"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综合楼水电暖费用足额按时缴纳完成率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r>
      <w:tr>
        <w:tblPrEx>
          <w:tblLayout w:type="fixed"/>
          <w:tblCellMar>
            <w:top w:w="0" w:type="dxa"/>
            <w:left w:w="108" w:type="dxa"/>
            <w:bottom w:w="0" w:type="dxa"/>
            <w:right w:w="108" w:type="dxa"/>
          </w:tblCellMar>
        </w:tblPrEx>
        <w:trPr>
          <w:gridAfter w:val="19"/>
          <w:wAfter w:w="1282" w:type="dxa"/>
          <w:trHeight w:val="170"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安保服务时间</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全天24小时</w:t>
            </w:r>
          </w:p>
        </w:tc>
      </w:tr>
      <w:tr>
        <w:tblPrEx>
          <w:tblLayout w:type="fixed"/>
          <w:tblCellMar>
            <w:top w:w="0" w:type="dxa"/>
            <w:left w:w="108" w:type="dxa"/>
            <w:bottom w:w="0" w:type="dxa"/>
            <w:right w:w="108" w:type="dxa"/>
          </w:tblCellMar>
        </w:tblPrEx>
        <w:trPr>
          <w:gridAfter w:val="19"/>
          <w:wAfter w:w="1282" w:type="dxa"/>
          <w:trHeight w:val="278"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物业管理服务时间</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全天24小时</w:t>
            </w:r>
          </w:p>
        </w:tc>
      </w:tr>
      <w:tr>
        <w:tblPrEx>
          <w:tblLayout w:type="fixed"/>
          <w:tblCellMar>
            <w:top w:w="0" w:type="dxa"/>
            <w:left w:w="108" w:type="dxa"/>
            <w:bottom w:w="0" w:type="dxa"/>
            <w:right w:w="108" w:type="dxa"/>
          </w:tblCellMar>
        </w:tblPrEx>
        <w:trPr>
          <w:gridAfter w:val="19"/>
          <w:wAfter w:w="1282" w:type="dxa"/>
          <w:trHeight w:val="77"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供暖面积</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16962.05平方米</w:t>
            </w:r>
          </w:p>
        </w:tc>
      </w:tr>
      <w:tr>
        <w:tblPrEx>
          <w:tblLayout w:type="fixed"/>
          <w:tblCellMar>
            <w:top w:w="0" w:type="dxa"/>
            <w:left w:w="108" w:type="dxa"/>
            <w:bottom w:w="0" w:type="dxa"/>
            <w:right w:w="108" w:type="dxa"/>
          </w:tblCellMar>
        </w:tblPrEx>
        <w:trPr>
          <w:gridAfter w:val="19"/>
          <w:wAfter w:w="1282" w:type="dxa"/>
          <w:trHeight w:val="402"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木卡姆团综合楼建筑规模:集办公、排练、演出为一体，分为地上三层，地下一层</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总建筑面积16962.05平方米</w:t>
            </w:r>
          </w:p>
        </w:tc>
      </w:tr>
      <w:tr>
        <w:tblPrEx>
          <w:tblLayout w:type="fixed"/>
          <w:tblCellMar>
            <w:top w:w="0" w:type="dxa"/>
            <w:left w:w="108" w:type="dxa"/>
            <w:bottom w:w="0" w:type="dxa"/>
            <w:right w:w="108" w:type="dxa"/>
          </w:tblCellMar>
        </w:tblPrEx>
        <w:trPr>
          <w:gridAfter w:val="19"/>
          <w:wAfter w:w="1282" w:type="dxa"/>
          <w:trHeight w:val="186"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年资金规模</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年运行经费200万元</w:t>
            </w:r>
          </w:p>
        </w:tc>
      </w:tr>
      <w:tr>
        <w:tblPrEx>
          <w:tblLayout w:type="fixed"/>
          <w:tblCellMar>
            <w:top w:w="0" w:type="dxa"/>
            <w:left w:w="108" w:type="dxa"/>
            <w:bottom w:w="0" w:type="dxa"/>
            <w:right w:w="108" w:type="dxa"/>
          </w:tblCellMar>
        </w:tblPrEx>
        <w:trPr>
          <w:gridAfter w:val="19"/>
          <w:wAfter w:w="1282" w:type="dxa"/>
          <w:trHeight w:val="264"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保洁达标率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9"/>
          <w:wAfter w:w="1282" w:type="dxa"/>
          <w:trHeight w:val="296"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基础设施、水电暖设施、安防设施完好率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9"/>
          <w:wAfter w:w="1282" w:type="dxa"/>
          <w:trHeight w:val="249"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绿化完好率</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Layout w:type="fixed"/>
          <w:tblCellMar>
            <w:top w:w="0" w:type="dxa"/>
            <w:left w:w="108" w:type="dxa"/>
            <w:bottom w:w="0" w:type="dxa"/>
            <w:right w:w="108" w:type="dxa"/>
          </w:tblCellMar>
        </w:tblPrEx>
        <w:trPr>
          <w:gridAfter w:val="19"/>
          <w:wAfter w:w="1282" w:type="dxa"/>
          <w:trHeight w:val="210" w:hRule="atLeast"/>
        </w:trPr>
        <w:tc>
          <w:tcPr>
            <w:tcW w:w="2032" w:type="dxa"/>
            <w:gridSpan w:val="7"/>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527"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保障综合楼正常运转，节能降耗，实现保值增值</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成本节约率≥2%</w:t>
            </w:r>
          </w:p>
        </w:tc>
      </w:tr>
      <w:tr>
        <w:tblPrEx>
          <w:tblLayout w:type="fixed"/>
          <w:tblCellMar>
            <w:top w:w="0" w:type="dxa"/>
            <w:left w:w="108" w:type="dxa"/>
            <w:bottom w:w="0" w:type="dxa"/>
            <w:right w:w="108" w:type="dxa"/>
          </w:tblCellMar>
        </w:tblPrEx>
        <w:trPr>
          <w:gridAfter w:val="19"/>
          <w:wAfter w:w="1282" w:type="dxa"/>
          <w:trHeight w:val="294"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项目发挥作用的可持续性</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中长期</w:t>
            </w:r>
          </w:p>
        </w:tc>
      </w:tr>
      <w:tr>
        <w:tblPrEx>
          <w:tblLayout w:type="fixed"/>
          <w:tblCellMar>
            <w:top w:w="0" w:type="dxa"/>
            <w:left w:w="108" w:type="dxa"/>
            <w:bottom w:w="0" w:type="dxa"/>
            <w:right w:w="108" w:type="dxa"/>
          </w:tblCellMar>
        </w:tblPrEx>
        <w:trPr>
          <w:gridAfter w:val="19"/>
          <w:wAfter w:w="1282" w:type="dxa"/>
          <w:trHeight w:val="243" w:hRule="atLeast"/>
        </w:trPr>
        <w:tc>
          <w:tcPr>
            <w:tcW w:w="2032" w:type="dxa"/>
            <w:gridSpan w:val="7"/>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1527"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创造整洁、文明、安全、舒适的工作环境，为各项工作的开展奠定良好基础</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各项工作完成率≥95%</w:t>
            </w:r>
          </w:p>
        </w:tc>
      </w:tr>
      <w:tr>
        <w:tblPrEx>
          <w:tblLayout w:type="fixed"/>
          <w:tblCellMar>
            <w:top w:w="0" w:type="dxa"/>
            <w:left w:w="108" w:type="dxa"/>
            <w:bottom w:w="0" w:type="dxa"/>
            <w:right w:w="108" w:type="dxa"/>
          </w:tblCellMar>
        </w:tblPrEx>
        <w:trPr>
          <w:gridAfter w:val="19"/>
          <w:wAfter w:w="1282" w:type="dxa"/>
          <w:trHeight w:val="402" w:hRule="atLeast"/>
        </w:trPr>
        <w:tc>
          <w:tcPr>
            <w:tcW w:w="2032" w:type="dxa"/>
            <w:gridSpan w:val="7"/>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527" w:type="dxa"/>
            <w:gridSpan w:val="11"/>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610" w:type="dxa"/>
            <w:gridSpan w:val="7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职工对物业管理的满意程度</w:t>
            </w:r>
          </w:p>
        </w:tc>
        <w:tc>
          <w:tcPr>
            <w:tcW w:w="2820" w:type="dxa"/>
            <w:gridSpan w:val="2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360" w:hRule="atLeast"/>
        </w:trPr>
        <w:tc>
          <w:tcPr>
            <w:tcW w:w="14081" w:type="dxa"/>
            <w:gridSpan w:val="140"/>
            <w:tcBorders>
              <w:top w:val="nil"/>
              <w:left w:val="nil"/>
              <w:bottom w:val="nil"/>
              <w:right w:val="nil"/>
            </w:tcBorders>
            <w:shd w:val="clear" w:color="auto" w:fill="auto"/>
            <w:vAlign w:val="bottom"/>
          </w:tcPr>
          <w:p>
            <w:pPr>
              <w:widowControl/>
              <w:jc w:val="center"/>
              <w:rPr>
                <w:rFonts w:ascii="宋体" w:hAnsi="宋体" w:cs="宋体"/>
                <w:b/>
                <w:bCs/>
                <w:kern w:val="0"/>
                <w:sz w:val="32"/>
                <w:szCs w:val="32"/>
              </w:rPr>
            </w:pPr>
            <w:r>
              <w:rPr>
                <w:rFonts w:hint="eastAsia" w:ascii="宋体" w:hAnsi="宋体" w:cs="宋体"/>
                <w:b/>
                <w:bCs/>
                <w:kern w:val="0"/>
                <w:sz w:val="32"/>
                <w:szCs w:val="32"/>
              </w:rPr>
              <w:t>项  目  支  出  绩  效  目  标  表</w:t>
            </w:r>
          </w:p>
        </w:tc>
      </w:tr>
      <w:tr>
        <w:tblPrEx>
          <w:tblLayout w:type="fixed"/>
          <w:tblCellMar>
            <w:top w:w="0" w:type="dxa"/>
            <w:left w:w="108" w:type="dxa"/>
            <w:bottom w:w="0" w:type="dxa"/>
            <w:right w:w="108" w:type="dxa"/>
          </w:tblCellMar>
        </w:tblPrEx>
        <w:trPr>
          <w:gridAfter w:val="1"/>
          <w:wAfter w:w="190" w:type="dxa"/>
          <w:trHeight w:val="360" w:hRule="atLeast"/>
        </w:trPr>
        <w:tc>
          <w:tcPr>
            <w:tcW w:w="2227" w:type="dxa"/>
            <w:gridSpan w:val="9"/>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199" w:type="dxa"/>
            <w:gridSpan w:val="18"/>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1216" w:type="dxa"/>
            <w:gridSpan w:val="1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238" w:type="dxa"/>
            <w:gridSpan w:val="2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00"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00"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034" w:type="dxa"/>
            <w:gridSpan w:val="22"/>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36"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2638" w:type="dxa"/>
            <w:gridSpan w:val="24"/>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86" w:type="dxa"/>
            <w:gridSpan w:val="7"/>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c>
          <w:tcPr>
            <w:tcW w:w="307"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1"/>
          <w:wAfter w:w="190" w:type="dxa"/>
          <w:trHeight w:val="419" w:hRule="atLeast"/>
        </w:trPr>
        <w:tc>
          <w:tcPr>
            <w:tcW w:w="222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6253" w:type="dxa"/>
            <w:gridSpan w:val="6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新疆艺术剧院杂技团</w:t>
            </w:r>
          </w:p>
        </w:tc>
        <w:tc>
          <w:tcPr>
            <w:tcW w:w="2034" w:type="dxa"/>
            <w:gridSpan w:val="2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567" w:type="dxa"/>
            <w:gridSpan w:val="4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自治区政府购买文化演出项目</w:t>
            </w:r>
          </w:p>
        </w:tc>
      </w:tr>
      <w:tr>
        <w:tblPrEx>
          <w:tblLayout w:type="fixed"/>
          <w:tblCellMar>
            <w:top w:w="0" w:type="dxa"/>
            <w:left w:w="108" w:type="dxa"/>
            <w:bottom w:w="0" w:type="dxa"/>
            <w:right w:w="108" w:type="dxa"/>
          </w:tblCellMar>
        </w:tblPrEx>
        <w:trPr>
          <w:gridAfter w:val="1"/>
          <w:wAfter w:w="190" w:type="dxa"/>
          <w:trHeight w:val="425" w:hRule="atLeast"/>
        </w:trPr>
        <w:tc>
          <w:tcPr>
            <w:tcW w:w="2227" w:type="dxa"/>
            <w:gridSpan w:val="9"/>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3415" w:type="dxa"/>
            <w:gridSpan w:val="3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173" w:type="dxa"/>
            <w:gridSpan w:val="1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422</w:t>
            </w:r>
          </w:p>
        </w:tc>
        <w:tc>
          <w:tcPr>
            <w:tcW w:w="1665" w:type="dxa"/>
            <w:gridSpan w:val="2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2034" w:type="dxa"/>
            <w:gridSpan w:val="2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422</w:t>
            </w:r>
          </w:p>
        </w:tc>
        <w:tc>
          <w:tcPr>
            <w:tcW w:w="2112" w:type="dxa"/>
            <w:gridSpan w:val="2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1455" w:type="dxa"/>
            <w:gridSpan w:val="2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w:t>
            </w:r>
          </w:p>
        </w:tc>
      </w:tr>
      <w:tr>
        <w:tblPrEx>
          <w:tblLayout w:type="fixed"/>
          <w:tblCellMar>
            <w:top w:w="0" w:type="dxa"/>
            <w:left w:w="108" w:type="dxa"/>
            <w:bottom w:w="0" w:type="dxa"/>
            <w:right w:w="108" w:type="dxa"/>
          </w:tblCellMar>
        </w:tblPrEx>
        <w:trPr>
          <w:gridAfter w:val="1"/>
          <w:wAfter w:w="190" w:type="dxa"/>
          <w:trHeight w:val="1335" w:hRule="atLeast"/>
        </w:trPr>
        <w:tc>
          <w:tcPr>
            <w:tcW w:w="2227" w:type="dxa"/>
            <w:gridSpan w:val="9"/>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854" w:type="dxa"/>
            <w:gridSpan w:val="13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深入学习贯彻党的十九大精神，深入学习贯彻习近平总书记系列重要讲话精神、特别是在中央第二次新疆工作座谈会和视察新疆时的重要讲话精神,紧紧围绕社会稳定和长治久安总目标，坚持中国特色社会主义文化发展道路，坚定文化自信，坚守中华文化立场，坚持以人民为中心的创作导向,在不断推进创作生产的同时，把以人民为中心作为创作工作的出发点和落脚点，为各族群众奉献大量的文艺演出培育形成“建设美丽新疆、共圆祖国梦想”的强大社会正能量，为实现新疆工作总目标、推动我区由文化资源大区向文化发展大区转变,提供强大的价值引导力、文化凝聚力、精神推动力，推动我区文艺演出深入基层，深入农村乡镇。</w:t>
            </w:r>
          </w:p>
        </w:tc>
      </w:tr>
      <w:tr>
        <w:tblPrEx>
          <w:tblLayout w:type="fixed"/>
          <w:tblCellMar>
            <w:top w:w="0" w:type="dxa"/>
            <w:left w:w="108" w:type="dxa"/>
            <w:bottom w:w="0" w:type="dxa"/>
            <w:right w:w="108" w:type="dxa"/>
          </w:tblCellMar>
        </w:tblPrEx>
        <w:trPr>
          <w:gridAfter w:val="1"/>
          <w:wAfter w:w="190" w:type="dxa"/>
          <w:trHeight w:val="316" w:hRule="atLeast"/>
        </w:trPr>
        <w:tc>
          <w:tcPr>
            <w:tcW w:w="2227" w:type="dxa"/>
            <w:gridSpan w:val="9"/>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2199" w:type="dxa"/>
            <w:gridSpan w:val="1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gridAfter w:val="1"/>
          <w:wAfter w:w="190" w:type="dxa"/>
          <w:trHeight w:val="435" w:hRule="atLeast"/>
        </w:trPr>
        <w:tc>
          <w:tcPr>
            <w:tcW w:w="2227" w:type="dxa"/>
            <w:gridSpan w:val="9"/>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2199" w:type="dxa"/>
            <w:gridSpan w:val="18"/>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2019年12月30日前演出完毕</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412" w:hRule="atLeast"/>
        </w:trPr>
        <w:tc>
          <w:tcPr>
            <w:tcW w:w="2227"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99" w:type="dxa"/>
            <w:gridSpan w:val="18"/>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全年演出170场</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418" w:hRule="atLeast"/>
        </w:trPr>
        <w:tc>
          <w:tcPr>
            <w:tcW w:w="2227"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99" w:type="dxa"/>
            <w:gridSpan w:val="1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小型演出120场</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396" w:hRule="atLeast"/>
        </w:trPr>
        <w:tc>
          <w:tcPr>
            <w:tcW w:w="2227"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99" w:type="dxa"/>
            <w:gridSpan w:val="18"/>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经典节目（获全国级奖项节目）≥2个</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417" w:hRule="atLeast"/>
        </w:trPr>
        <w:tc>
          <w:tcPr>
            <w:tcW w:w="2227"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99" w:type="dxa"/>
            <w:gridSpan w:val="1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每场演出副高以上职称演员≥3人</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422" w:hRule="atLeast"/>
        </w:trPr>
        <w:tc>
          <w:tcPr>
            <w:tcW w:w="2227" w:type="dxa"/>
            <w:gridSpan w:val="9"/>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2199" w:type="dxa"/>
            <w:gridSpan w:val="18"/>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贫困地区覆盖率</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272" w:hRule="atLeast"/>
        </w:trPr>
        <w:tc>
          <w:tcPr>
            <w:tcW w:w="2227"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99" w:type="dxa"/>
            <w:gridSpan w:val="1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演出报道100篇通讯稿</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390" w:hRule="atLeast"/>
        </w:trPr>
        <w:tc>
          <w:tcPr>
            <w:tcW w:w="2227"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99" w:type="dxa"/>
            <w:gridSpan w:val="1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演出场次</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600" w:hRule="atLeast"/>
        </w:trPr>
        <w:tc>
          <w:tcPr>
            <w:tcW w:w="2227" w:type="dxa"/>
            <w:gridSpan w:val="9"/>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2199" w:type="dxa"/>
            <w:gridSpan w:val="18"/>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社会公众满意度</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Layout w:type="fixed"/>
          <w:tblCellMar>
            <w:top w:w="0" w:type="dxa"/>
            <w:left w:w="108" w:type="dxa"/>
            <w:bottom w:w="0" w:type="dxa"/>
            <w:right w:w="108" w:type="dxa"/>
          </w:tblCellMar>
        </w:tblPrEx>
        <w:trPr>
          <w:gridAfter w:val="1"/>
          <w:wAfter w:w="190" w:type="dxa"/>
          <w:trHeight w:val="600" w:hRule="atLeast"/>
        </w:trPr>
        <w:tc>
          <w:tcPr>
            <w:tcW w:w="2227" w:type="dxa"/>
            <w:gridSpan w:val="9"/>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2199" w:type="dxa"/>
            <w:gridSpan w:val="18"/>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cs="宋体"/>
                <w:kern w:val="0"/>
                <w:sz w:val="18"/>
                <w:szCs w:val="18"/>
              </w:rPr>
            </w:pPr>
          </w:p>
        </w:tc>
        <w:tc>
          <w:tcPr>
            <w:tcW w:w="6324" w:type="dxa"/>
            <w:gridSpan w:val="7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完成率</w:t>
            </w:r>
          </w:p>
        </w:tc>
        <w:tc>
          <w:tcPr>
            <w:tcW w:w="3331" w:type="dxa"/>
            <w:gridSpan w:val="3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bl>
    <w:p>
      <w:pPr>
        <w:widowControl/>
        <w:spacing w:beforeLines="50"/>
        <w:jc w:val="both"/>
        <w:outlineLvl w:val="1"/>
        <w:rPr>
          <w:rFonts w:hint="eastAsia" w:ascii="黑体" w:hAnsi="黑体" w:eastAsia="黑体"/>
          <w:kern w:val="0"/>
          <w:sz w:val="32"/>
          <w:szCs w:val="32"/>
        </w:rPr>
        <w:sectPr>
          <w:pgSz w:w="16838" w:h="11906" w:orient="landscape"/>
          <w:pgMar w:top="1800" w:right="1440" w:bottom="1800" w:left="1440" w:header="851" w:footer="992" w:gutter="0"/>
          <w:cols w:space="425" w:num="1"/>
          <w:docGrid w:type="lines" w:linePitch="312" w:charSpace="0"/>
        </w:sectPr>
      </w:pPr>
    </w:p>
    <w:tbl>
      <w:tblPr>
        <w:tblStyle w:val="5"/>
        <w:tblW w:w="140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14"/>
        <w:gridCol w:w="1360"/>
        <w:gridCol w:w="992"/>
        <w:gridCol w:w="910"/>
        <w:gridCol w:w="2169"/>
        <w:gridCol w:w="903"/>
        <w:gridCol w:w="1173"/>
        <w:gridCol w:w="1277"/>
        <w:gridCol w:w="3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0" w:hRule="atLeast"/>
        </w:trPr>
        <w:tc>
          <w:tcPr>
            <w:tcW w:w="14014"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和旅游</w:t>
            </w:r>
            <w:r>
              <w:rPr>
                <w:rFonts w:hint="eastAsia" w:ascii="宋体" w:hAnsi="宋体" w:cs="宋体"/>
                <w:color w:val="000000"/>
                <w:kern w:val="0"/>
                <w:sz w:val="18"/>
                <w:szCs w:val="18"/>
              </w:rPr>
              <w:t>厅</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2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西洽会、厦洽会、中国国际商品博览会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7"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1260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全疆相关旅游企业参与洽谈会、博览会、展会，宣传展示我区旅游产品，推介我区旅游投资项目，招徕国际国内投资，为区内外投资者提供交流平台。更好地宣传和推介我区丰富多彩的旅游资源和旅游产品，进一步加强与国际旅游界的广泛交流与合作，提升新疆旅游品牌的国际知名度和影响力，叫响“新疆是个好地方”旅游品牌，推动旅游业大发展快发展，努力建设世界重要旅游目的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参展费用</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活动资金拨付时限</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参展单位数量</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举办展会次数</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展位数</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展位搭建效果</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游客吸引功能</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节事旅游产品丰富，强大的游客吸引功能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在一定时期内达到宣传效果和市场影响力</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各类媒体宣传曝光率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品牌效益</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聚人气、讲规模、重品牌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参展单位满意度</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参展商及公众咨询满意度</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014"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color w:val="000000"/>
                <w:kern w:val="0"/>
                <w:sz w:val="18"/>
                <w:szCs w:val="18"/>
              </w:rPr>
              <w:t>自治区文化</w:t>
            </w:r>
            <w:r>
              <w:rPr>
                <w:rFonts w:hint="eastAsia" w:ascii="宋体" w:hAnsi="宋体" w:cs="宋体"/>
                <w:color w:val="000000"/>
                <w:kern w:val="0"/>
                <w:sz w:val="18"/>
                <w:szCs w:val="18"/>
                <w:lang w:eastAsia="zh-CN"/>
              </w:rPr>
              <w:t>和旅游</w:t>
            </w:r>
            <w:r>
              <w:rPr>
                <w:rFonts w:hint="eastAsia" w:ascii="宋体" w:hAnsi="宋体" w:cs="宋体"/>
                <w:color w:val="000000"/>
                <w:kern w:val="0"/>
                <w:sz w:val="18"/>
                <w:szCs w:val="18"/>
              </w:rPr>
              <w:t>厅</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2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7"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1260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严厉打击旅游市场的违规违法活动，促进新疆旅游市场服务质量的全面提升。旅游行业安全基础进一步夯实，综治维稳更加扎实有效，平安建设稳步提升，旅游市场综合监管机制进一步完善，信用监管力度进一步加强，旅游市场秩序进一步向好，旅游服务质量进一步提升，旅游消费环境更加优化，旅游服务质量对旅游业结构调整和转型升级的推动作用进一步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检查暗访费用</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国家相关差旅费规定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检查时间：重要节点、重点时段与节假日来临前一周</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暗访次数</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出动执法车辆</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检查次数</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检查范围</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≤14各地州市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派出行管人员</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≥48人次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A级旅游景区景点和旅行社、导游服务指标达标率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旅游市场口碑</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无重大负面、发酵舆论事件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旅游市场检查、旅游市场服务。</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促进旅游市场安全、有序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市场满意度</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014"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新疆维吾尔自治区旅游发展委员会机关服务中心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2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145</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7"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1260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全面贯彻落实党的十九大会议精神，聚焦总目标，确保新疆社会稳定和长治久安，着力推动“党建+治安”网格一体化建设，2019年，委机关服务中心在委党组的正确领导下，紧紧围绕委机关工作和服务中心目标任务，牢固树立服务观念，做好日常委机关后勤维护维修服务、加强综治维稳及消防安全防范工作、完善车辆管理办法，加强机关车队和驾驶员管理等后勤保障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工勤岗10人年终奖金</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约20万元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聘用人员劳务</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维修维护费</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保洁、绿化、值班、安全保障</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机关后勤工作聘用人员</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日常维护、维修服务</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后勤工作覆盖率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日常维修维护率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消防、安全保障率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后勤服务满意度</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014"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新疆维吾尔自治区旅游培训中心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2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培训业务成本支出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7"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1260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为深入贯彻十九大报告中“优先发展教育事业”的方针政策，把教育事业放在优先位置，办好人民满意的培训工作，落实《自治区党委 自治区人民政府关于进一步加快旅游业发展的意见》（新党发〔2017〕6号）有关加强旅游人力资源开发，促进旅游就业的相关要求，培训中心在我委党组正确领导和支持下，开展一系列培训工作。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培训成本综合定额标准执行</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≤200元/天/人，全年≥108万元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培训服务保障费用</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全年培训项目支出</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完成时限分中短期培训</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≤3个月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培训场次</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培训人数</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培训课程的要求，好评率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培训师资的要求，专家教授比例</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3"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培训带动作用</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培训覆盖面达全疆14个地州市，带动全疆旅游行业就业率。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课程、学习成效满意度</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014" w:type="dxa"/>
            <w:gridSpan w:val="9"/>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项  目  支  出  绩  效  目  标  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预算单位</w:t>
            </w:r>
          </w:p>
        </w:tc>
        <w:tc>
          <w:tcPr>
            <w:tcW w:w="54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新疆维吾尔自治区旅游宣传推广中心</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项目名称</w:t>
            </w:r>
          </w:p>
        </w:tc>
        <w:tc>
          <w:tcPr>
            <w:tcW w:w="62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专项业务费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项目资金（万元）</w:t>
            </w:r>
          </w:p>
        </w:tc>
        <w:tc>
          <w:tcPr>
            <w:tcW w:w="23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c>
          <w:tcPr>
            <w:tcW w:w="21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7"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项目总体目标</w:t>
            </w:r>
          </w:p>
        </w:tc>
        <w:tc>
          <w:tcPr>
            <w:tcW w:w="1260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1、旅游政务网站是旅游系统依托互联网办理行政事务、提供公众服务和对外形象展示的平台。依托政务网站，可对社会发布具有公信力的数据、信息。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2、新疆旅游资讯网旨在打造综合性的新疆旅游公共服务平台，集全疆各地州旅游信息为一体，为疆内外游客提供丰富全面的新疆旅游资讯信息。 </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3、今日头条号：自治区旅游发展委员会在今日头条上注册的已认证的账号，2017年3月注册运营，并于2018年年初组建了新疆旅游头条号矩阵平台，与全疆各地州旅游单位形成良好的互推合作，效果极佳。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6"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三级指标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指标值（包含数字及文字描述）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项目完成指标</w:t>
            </w: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更新频率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10-20人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2"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伙食补助人数、标准</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≤160人，≤25元/人/天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机房电费</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中心聘用人员劳务费</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更新频率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≥10-30条/每周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支付进度</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根据实际情况，按需使用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今日头条号累计、新疆旅游政务官网、新疆旅游资讯网</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各1个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项目总预算</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网络安全等级</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 w:hRule="atLeast"/>
        </w:trPr>
        <w:tc>
          <w:tcPr>
            <w:tcW w:w="14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阅读量增长率</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发布数量</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≥400篇，视频≥10条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信息发布数量</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500--1000篇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96" w:hRule="atLeast"/>
        </w:trPr>
        <w:tc>
          <w:tcPr>
            <w:tcW w:w="14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阅读量、播放量</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6" w:hRule="atLeast"/>
        </w:trPr>
        <w:tc>
          <w:tcPr>
            <w:tcW w:w="14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614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头条问答网友满意度</w:t>
            </w:r>
          </w:p>
        </w:tc>
        <w:tc>
          <w:tcPr>
            <w:tcW w:w="50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r>
    </w:tbl>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E1AAB"/>
    <w:multiLevelType w:val="multilevel"/>
    <w:tmpl w:val="3DEE1AAB"/>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86A04"/>
    <w:rsid w:val="00044DEE"/>
    <w:rsid w:val="001168B4"/>
    <w:rsid w:val="00131E13"/>
    <w:rsid w:val="001F68EE"/>
    <w:rsid w:val="00355AB4"/>
    <w:rsid w:val="00713EE5"/>
    <w:rsid w:val="00A60A2B"/>
    <w:rsid w:val="00B86A04"/>
    <w:rsid w:val="00C11480"/>
    <w:rsid w:val="00E77B14"/>
    <w:rsid w:val="00F16CF9"/>
    <w:rsid w:val="03453ADD"/>
    <w:rsid w:val="0A1A145C"/>
    <w:rsid w:val="0A6D5167"/>
    <w:rsid w:val="0BC61330"/>
    <w:rsid w:val="10124157"/>
    <w:rsid w:val="11852833"/>
    <w:rsid w:val="12B04C85"/>
    <w:rsid w:val="16DC3F27"/>
    <w:rsid w:val="215B4AA9"/>
    <w:rsid w:val="25A972F0"/>
    <w:rsid w:val="28B47E5F"/>
    <w:rsid w:val="29AE0306"/>
    <w:rsid w:val="29C578B1"/>
    <w:rsid w:val="2B2E3B63"/>
    <w:rsid w:val="2F0A20B4"/>
    <w:rsid w:val="30B379E4"/>
    <w:rsid w:val="34307319"/>
    <w:rsid w:val="352B2526"/>
    <w:rsid w:val="516B60B3"/>
    <w:rsid w:val="53412E2B"/>
    <w:rsid w:val="53905308"/>
    <w:rsid w:val="56336E5D"/>
    <w:rsid w:val="5C8F6787"/>
    <w:rsid w:val="61F0536A"/>
    <w:rsid w:val="70E3317B"/>
    <w:rsid w:val="72120559"/>
    <w:rsid w:val="758E4DB7"/>
    <w:rsid w:val="76F87BA6"/>
    <w:rsid w:val="7A451AF2"/>
    <w:rsid w:val="7A7D30F6"/>
    <w:rsid w:val="7D27750C"/>
    <w:rsid w:val="7EF57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106</Words>
  <Characters>605</Characters>
  <Lines>5</Lines>
  <Paragraphs>1</Paragraphs>
  <TotalTime>1</TotalTime>
  <ScaleCrop>false</ScaleCrop>
  <LinksUpToDate>false</LinksUpToDate>
  <CharactersWithSpaces>710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2019-03-16T00:58:00Z</dcterms:created>
  <dc:creator>刘大军（预算处）</dc:creator>
  <cp:lastModifiedBy>薷棵芽</cp:lastModifiedBy>
  <cp:lastPrinted>2019-03-21T02:13:00Z</cp:lastPrinted>
  <dcterms:modified xsi:type="dcterms:W3CDTF">2019-03-26T09:32:30Z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