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A1697">
      <w:pPr>
        <w:spacing w:line="540" w:lineRule="exact"/>
        <w:jc w:val="left"/>
        <w:rPr>
          <w:rFonts w:ascii="黑体" w:hAnsi="黑体" w:eastAsia="黑体" w:cs="黑体"/>
          <w:bCs/>
          <w:kern w:val="0"/>
          <w:sz w:val="32"/>
          <w:szCs w:val="32"/>
        </w:rPr>
      </w:pPr>
      <w:r>
        <w:rPr>
          <w:rFonts w:hint="eastAsia" w:ascii="黑体" w:hAnsi="黑体" w:eastAsia="黑体" w:cs="黑体"/>
          <w:bCs/>
          <w:kern w:val="0"/>
          <w:sz w:val="32"/>
          <w:szCs w:val="32"/>
        </w:rPr>
        <w:t>附件4：</w:t>
      </w:r>
    </w:p>
    <w:p w14:paraId="5A5E923E">
      <w:pPr>
        <w:spacing w:line="540" w:lineRule="exact"/>
        <w:rPr>
          <w:rFonts w:eastAsia="华文中宋"/>
          <w:b/>
          <w:kern w:val="0"/>
          <w:sz w:val="72"/>
          <w:szCs w:val="72"/>
        </w:rPr>
      </w:pPr>
    </w:p>
    <w:p w14:paraId="26D7C042">
      <w:pPr>
        <w:spacing w:line="540" w:lineRule="exact"/>
        <w:jc w:val="center"/>
        <w:rPr>
          <w:rFonts w:eastAsia="华文中宋"/>
          <w:b/>
          <w:kern w:val="0"/>
          <w:sz w:val="52"/>
          <w:szCs w:val="52"/>
        </w:rPr>
      </w:pPr>
    </w:p>
    <w:p w14:paraId="71EE9F83">
      <w:pPr>
        <w:spacing w:line="540" w:lineRule="exact"/>
        <w:jc w:val="center"/>
        <w:rPr>
          <w:rFonts w:eastAsia="华文中宋"/>
          <w:b/>
          <w:kern w:val="0"/>
          <w:sz w:val="52"/>
          <w:szCs w:val="52"/>
        </w:rPr>
      </w:pPr>
    </w:p>
    <w:p w14:paraId="2864DA2C">
      <w:pPr>
        <w:spacing w:line="540" w:lineRule="exact"/>
        <w:jc w:val="center"/>
        <w:rPr>
          <w:rFonts w:eastAsia="方正小标宋_GBK"/>
          <w:kern w:val="0"/>
          <w:sz w:val="48"/>
          <w:szCs w:val="48"/>
        </w:rPr>
      </w:pPr>
      <w:r>
        <w:rPr>
          <w:rFonts w:hint="eastAsia" w:eastAsia="方正小标宋_GBK"/>
          <w:kern w:val="0"/>
          <w:sz w:val="48"/>
          <w:szCs w:val="48"/>
        </w:rPr>
        <w:t>“三馆一站”免费开放自治区配套</w:t>
      </w:r>
      <w:r>
        <w:rPr>
          <w:rFonts w:eastAsia="方正小标宋_GBK"/>
          <w:kern w:val="0"/>
          <w:sz w:val="48"/>
          <w:szCs w:val="48"/>
        </w:rPr>
        <w:t>资金</w:t>
      </w:r>
    </w:p>
    <w:p w14:paraId="2EC18010">
      <w:pPr>
        <w:spacing w:line="540" w:lineRule="exact"/>
        <w:jc w:val="center"/>
        <w:rPr>
          <w:rFonts w:eastAsia="方正小标宋_GBK"/>
          <w:kern w:val="0"/>
          <w:sz w:val="48"/>
          <w:szCs w:val="48"/>
        </w:rPr>
      </w:pPr>
      <w:r>
        <w:rPr>
          <w:rFonts w:eastAsia="方正小标宋_GBK"/>
          <w:kern w:val="0"/>
          <w:sz w:val="48"/>
          <w:szCs w:val="48"/>
        </w:rPr>
        <w:t>支出绩效评价报告</w:t>
      </w:r>
    </w:p>
    <w:p w14:paraId="18F925E5">
      <w:pPr>
        <w:spacing w:line="540" w:lineRule="exact"/>
        <w:jc w:val="center"/>
        <w:rPr>
          <w:rFonts w:eastAsia="华文中宋"/>
          <w:b/>
          <w:kern w:val="0"/>
          <w:sz w:val="52"/>
          <w:szCs w:val="52"/>
        </w:rPr>
      </w:pPr>
    </w:p>
    <w:p w14:paraId="6B408D4D">
      <w:pPr>
        <w:spacing w:line="540" w:lineRule="exact"/>
        <w:jc w:val="center"/>
        <w:rPr>
          <w:rFonts w:hint="eastAsia" w:ascii="CESI仿宋-GB2312" w:hAnsi="CESI仿宋-GB2312" w:eastAsia="CESI仿宋-GB2312" w:cs="CESI仿宋-GB2312"/>
          <w:kern w:val="0"/>
          <w:sz w:val="36"/>
          <w:szCs w:val="36"/>
        </w:rPr>
      </w:pPr>
      <w:r>
        <w:rPr>
          <w:rFonts w:hint="eastAsia" w:ascii="CESI仿宋-GB2312" w:hAnsi="CESI仿宋-GB2312" w:eastAsia="CESI仿宋-GB2312" w:cs="CESI仿宋-GB2312"/>
          <w:kern w:val="0"/>
          <w:sz w:val="36"/>
          <w:szCs w:val="36"/>
        </w:rPr>
        <w:t>（2022年度）</w:t>
      </w:r>
    </w:p>
    <w:p w14:paraId="5FD405C5">
      <w:pPr>
        <w:spacing w:line="540" w:lineRule="exact"/>
        <w:jc w:val="center"/>
        <w:rPr>
          <w:rFonts w:eastAsia="仿宋_GB2312"/>
          <w:kern w:val="0"/>
          <w:sz w:val="30"/>
          <w:szCs w:val="30"/>
        </w:rPr>
      </w:pPr>
    </w:p>
    <w:p w14:paraId="77D243E0">
      <w:pPr>
        <w:spacing w:line="540" w:lineRule="exact"/>
        <w:jc w:val="center"/>
        <w:rPr>
          <w:rFonts w:eastAsia="仿宋_GB2312"/>
          <w:kern w:val="0"/>
          <w:sz w:val="30"/>
          <w:szCs w:val="30"/>
        </w:rPr>
      </w:pPr>
    </w:p>
    <w:p w14:paraId="4499B352">
      <w:pPr>
        <w:spacing w:line="540" w:lineRule="exact"/>
        <w:jc w:val="center"/>
        <w:rPr>
          <w:rFonts w:eastAsia="仿宋_GB2312"/>
          <w:kern w:val="0"/>
          <w:sz w:val="30"/>
          <w:szCs w:val="30"/>
        </w:rPr>
      </w:pPr>
    </w:p>
    <w:p w14:paraId="25F78763">
      <w:pPr>
        <w:spacing w:line="540" w:lineRule="exact"/>
        <w:jc w:val="center"/>
        <w:rPr>
          <w:rFonts w:eastAsia="仿宋_GB2312"/>
          <w:kern w:val="0"/>
          <w:sz w:val="30"/>
          <w:szCs w:val="30"/>
        </w:rPr>
      </w:pPr>
    </w:p>
    <w:p w14:paraId="5B4A55A5">
      <w:pPr>
        <w:spacing w:line="540" w:lineRule="exact"/>
        <w:rPr>
          <w:rFonts w:eastAsia="仿宋_GB2312"/>
          <w:kern w:val="0"/>
          <w:sz w:val="30"/>
          <w:szCs w:val="30"/>
        </w:rPr>
      </w:pPr>
    </w:p>
    <w:p w14:paraId="12541506">
      <w:pPr>
        <w:spacing w:line="700" w:lineRule="exact"/>
        <w:ind w:firstLine="1440" w:firstLineChars="400"/>
        <w:rPr>
          <w:rFonts w:eastAsia="仿宋_GB2312"/>
          <w:kern w:val="0"/>
          <w:sz w:val="36"/>
          <w:szCs w:val="36"/>
        </w:rPr>
      </w:pPr>
      <w:r>
        <w:rPr>
          <w:rFonts w:eastAsia="仿宋_GB2312"/>
          <w:kern w:val="0"/>
          <w:sz w:val="36"/>
          <w:szCs w:val="36"/>
        </w:rPr>
        <w:t>项目名称：</w:t>
      </w:r>
      <w:r>
        <w:rPr>
          <w:rFonts w:hint="eastAsia" w:eastAsia="仿宋_GB2312"/>
          <w:kern w:val="0"/>
          <w:sz w:val="36"/>
          <w:szCs w:val="36"/>
        </w:rPr>
        <w:t>“三馆一站”免费开放</w:t>
      </w:r>
    </w:p>
    <w:p w14:paraId="34C38B0D">
      <w:pPr>
        <w:spacing w:line="700" w:lineRule="exact"/>
        <w:ind w:firstLine="1440" w:firstLineChars="400"/>
        <w:rPr>
          <w:rFonts w:eastAsia="仿宋_GB2312"/>
          <w:kern w:val="0"/>
          <w:sz w:val="36"/>
          <w:szCs w:val="36"/>
        </w:rPr>
      </w:pPr>
      <w:r>
        <w:rPr>
          <w:rFonts w:eastAsia="仿宋_GB2312"/>
          <w:kern w:val="0"/>
          <w:sz w:val="36"/>
          <w:szCs w:val="36"/>
        </w:rPr>
        <w:t>实施单位（公章）：</w:t>
      </w:r>
      <w:r>
        <w:rPr>
          <w:rFonts w:hint="eastAsia" w:eastAsia="仿宋_GB2312"/>
          <w:spacing w:val="1"/>
          <w:w w:val="78"/>
          <w:kern w:val="0"/>
          <w:sz w:val="36"/>
          <w:szCs w:val="36"/>
          <w:fitText w:val="3960" w:id="-1283685632"/>
        </w:rPr>
        <w:t>自治区文化和旅游厅公共服务</w:t>
      </w:r>
      <w:r>
        <w:rPr>
          <w:rFonts w:hint="eastAsia" w:eastAsia="仿宋_GB2312"/>
          <w:spacing w:val="18"/>
          <w:w w:val="78"/>
          <w:kern w:val="0"/>
          <w:sz w:val="36"/>
          <w:szCs w:val="36"/>
          <w:fitText w:val="3960" w:id="-1283685632"/>
        </w:rPr>
        <w:t>处</w:t>
      </w:r>
    </w:p>
    <w:p w14:paraId="0509C5B0">
      <w:pPr>
        <w:spacing w:line="700" w:lineRule="exact"/>
        <w:ind w:firstLine="1440" w:firstLineChars="400"/>
        <w:rPr>
          <w:rFonts w:eastAsia="仿宋_GB2312"/>
          <w:kern w:val="0"/>
          <w:sz w:val="36"/>
          <w:szCs w:val="36"/>
        </w:rPr>
      </w:pPr>
      <w:r>
        <w:rPr>
          <w:rFonts w:eastAsia="仿宋_GB2312"/>
          <w:kern w:val="0"/>
          <w:sz w:val="36"/>
          <w:szCs w:val="36"/>
        </w:rPr>
        <w:t>主管部门（公章）：</w:t>
      </w:r>
      <w:r>
        <w:rPr>
          <w:rFonts w:hint="eastAsia" w:eastAsia="仿宋_GB2312"/>
          <w:kern w:val="0"/>
          <w:sz w:val="36"/>
          <w:szCs w:val="36"/>
        </w:rPr>
        <w:t>自治区文化和旅游厅</w:t>
      </w:r>
    </w:p>
    <w:p w14:paraId="21060BF0">
      <w:pPr>
        <w:spacing w:line="700" w:lineRule="exact"/>
        <w:ind w:firstLine="1440" w:firstLineChars="400"/>
        <w:rPr>
          <w:rFonts w:hint="eastAsia" w:eastAsia="仿宋_GB2312"/>
          <w:kern w:val="0"/>
          <w:sz w:val="36"/>
          <w:szCs w:val="36"/>
          <w:lang w:eastAsia="zh-CN"/>
        </w:rPr>
      </w:pPr>
      <w:r>
        <w:rPr>
          <w:rFonts w:eastAsia="仿宋_GB2312"/>
          <w:kern w:val="0"/>
          <w:sz w:val="36"/>
          <w:szCs w:val="36"/>
        </w:rPr>
        <w:t>项目负责人（签章）：</w:t>
      </w:r>
      <w:r>
        <w:rPr>
          <w:rFonts w:hint="eastAsia" w:eastAsia="仿宋_GB2312"/>
          <w:kern w:val="0"/>
          <w:sz w:val="36"/>
          <w:szCs w:val="36"/>
          <w:lang w:eastAsia="zh-CN"/>
        </w:rPr>
        <w:t>蒲怀民</w:t>
      </w:r>
    </w:p>
    <w:p w14:paraId="400D0DCE">
      <w:pPr>
        <w:spacing w:line="700" w:lineRule="exact"/>
        <w:ind w:firstLine="1440" w:firstLineChars="400"/>
        <w:rPr>
          <w:rFonts w:hint="eastAsia" w:ascii="CESI仿宋-GB2312" w:hAnsi="CESI仿宋-GB2312" w:eastAsia="CESI仿宋-GB2312" w:cs="CESI仿宋-GB2312"/>
          <w:kern w:val="0"/>
          <w:sz w:val="36"/>
          <w:szCs w:val="36"/>
        </w:rPr>
      </w:pPr>
      <w:r>
        <w:rPr>
          <w:rFonts w:eastAsia="仿宋_GB2312"/>
          <w:kern w:val="0"/>
          <w:sz w:val="36"/>
          <w:szCs w:val="36"/>
        </w:rPr>
        <w:t>填</w:t>
      </w:r>
      <w:r>
        <w:rPr>
          <w:rFonts w:hint="eastAsia" w:ascii="CESI仿宋-GB2312" w:hAnsi="CESI仿宋-GB2312" w:eastAsia="CESI仿宋-GB2312" w:cs="CESI仿宋-GB2312"/>
          <w:kern w:val="0"/>
          <w:sz w:val="36"/>
          <w:szCs w:val="36"/>
        </w:rPr>
        <w:t>报时间：2023年3月17日</w:t>
      </w:r>
    </w:p>
    <w:p w14:paraId="5D898F2D">
      <w:pPr>
        <w:spacing w:line="540" w:lineRule="exact"/>
        <w:jc w:val="center"/>
        <w:rPr>
          <w:rFonts w:eastAsia="仿宋_GB2312"/>
          <w:kern w:val="0"/>
          <w:sz w:val="30"/>
          <w:szCs w:val="30"/>
        </w:rPr>
      </w:pPr>
    </w:p>
    <w:p w14:paraId="4E5FFF75">
      <w:pPr>
        <w:spacing w:line="540" w:lineRule="exact"/>
        <w:rPr>
          <w:rStyle w:val="23"/>
          <w:rFonts w:eastAsia="黑体"/>
          <w:b w:val="0"/>
          <w:spacing w:val="-4"/>
          <w:sz w:val="32"/>
          <w:szCs w:val="32"/>
        </w:rPr>
      </w:pPr>
    </w:p>
    <w:p w14:paraId="71471C9E">
      <w:pPr>
        <w:spacing w:line="540" w:lineRule="exact"/>
        <w:ind w:firstLine="640"/>
        <w:rPr>
          <w:rStyle w:val="23"/>
          <w:rFonts w:eastAsia="黑体"/>
          <w:b w:val="0"/>
          <w:spacing w:val="-4"/>
          <w:sz w:val="32"/>
          <w:szCs w:val="32"/>
        </w:rPr>
      </w:pPr>
    </w:p>
    <w:p w14:paraId="2276FCC4">
      <w:pPr>
        <w:spacing w:line="540" w:lineRule="exact"/>
        <w:rPr>
          <w:rStyle w:val="23"/>
          <w:rFonts w:eastAsia="黑体"/>
          <w:b w:val="0"/>
          <w:spacing w:val="-4"/>
          <w:sz w:val="32"/>
          <w:szCs w:val="32"/>
        </w:rPr>
      </w:pPr>
    </w:p>
    <w:p w14:paraId="378D7352">
      <w:pPr>
        <w:pStyle w:val="2"/>
        <w:jc w:val="both"/>
      </w:pPr>
    </w:p>
    <w:p w14:paraId="29AD50D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bCs/>
          <w:sz w:val="32"/>
          <w:szCs w:val="32"/>
        </w:rPr>
      </w:pPr>
      <w:r>
        <w:rPr>
          <w:rFonts w:eastAsia="黑体"/>
          <w:bCs/>
          <w:sz w:val="32"/>
          <w:szCs w:val="32"/>
        </w:rPr>
        <w:t>一、基本情况</w:t>
      </w:r>
    </w:p>
    <w:p w14:paraId="09DB8767">
      <w:pPr>
        <w:keepNext w:val="0"/>
        <w:keepLines w:val="0"/>
        <w:pageBreakBefore w:val="0"/>
        <w:kinsoku/>
        <w:wordWrap/>
        <w:overflowPunct/>
        <w:topLinePunct w:val="0"/>
        <w:autoSpaceDE/>
        <w:autoSpaceDN/>
        <w:bidi w:val="0"/>
        <w:adjustRightInd/>
        <w:snapToGrid/>
        <w:spacing w:line="560" w:lineRule="exact"/>
        <w:ind w:firstLine="641"/>
        <w:textAlignment w:val="auto"/>
        <w:rPr>
          <w:rFonts w:eastAsia="楷体_GB2312"/>
          <w:b/>
          <w:bCs/>
          <w:sz w:val="32"/>
          <w:szCs w:val="32"/>
        </w:rPr>
      </w:pPr>
      <w:r>
        <w:rPr>
          <w:rFonts w:eastAsia="楷体_GB2312"/>
          <w:b/>
          <w:bCs/>
          <w:sz w:val="32"/>
          <w:szCs w:val="32"/>
        </w:rPr>
        <w:t>（一）项目概况</w:t>
      </w:r>
    </w:p>
    <w:p w14:paraId="63341531">
      <w:pPr>
        <w:keepNext w:val="0"/>
        <w:keepLines w:val="0"/>
        <w:pageBreakBefore w:val="0"/>
        <w:kinsoku/>
        <w:wordWrap/>
        <w:overflowPunct/>
        <w:topLinePunct w:val="0"/>
        <w:autoSpaceDE/>
        <w:autoSpaceDN/>
        <w:bidi w:val="0"/>
        <w:adjustRightInd/>
        <w:snapToGrid/>
        <w:spacing w:line="560" w:lineRule="exact"/>
        <w:ind w:firstLine="641"/>
        <w:textAlignment w:val="auto"/>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rPr>
        <w:t>1.项目背景</w:t>
      </w:r>
    </w:p>
    <w:p w14:paraId="641D307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rPr>
      </w:pPr>
      <w:r>
        <w:rPr>
          <w:rFonts w:hint="eastAsia" w:ascii="仿宋_GB2312" w:eastAsia="仿宋_GB2312"/>
          <w:sz w:val="32"/>
          <w:szCs w:val="32"/>
        </w:rPr>
        <w:t>根据《中华人民共和国公共文化服务保障法》，加强公共文化服务体系建设，美术馆、公共图书馆、文化馆（站）（以下简称“三馆一站”）作为政府举办的公益性文化事业单位，是开展公共文化服务的重要载体，更是保障人民群众基本文化权益的重要阵地。按照“增加投入、转换机制、增强活力、改善服务”的原则，将支持免费开放工作与建立公益性文化事业单位经费保障机制紧密结合，确保美术馆、公共图书馆、文化馆（站）免费开放后正常运转并提供基本公共文化服务。</w:t>
      </w:r>
    </w:p>
    <w:p w14:paraId="0DAC734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rPr>
        <w:t>2.项目主要内容：</w:t>
      </w:r>
    </w:p>
    <w:p w14:paraId="63A6451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贯彻落实党中央、自治区党委关于“推进美术馆、图书馆、文化馆（站）免费开放，丰富人民群众的精神文化生活”的要求，充分发挥“三馆一站”在提高公民鉴赏能力、提高各族群众思想道德和科学文化素质的作用，保障各族群众基本权益，促进社会和谐稳定。</w:t>
      </w:r>
    </w:p>
    <w:p w14:paraId="16DA8EA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仿宋_GB2312" w:eastAsia="仿宋_GB2312"/>
          <w:sz w:val="32"/>
          <w:szCs w:val="32"/>
        </w:rPr>
        <w:t>项目实施情况：项目目前已经完成实际设立的目标，</w:t>
      </w:r>
      <w:r>
        <w:rPr>
          <w:rFonts w:hint="eastAsia" w:ascii="仿宋_GB2312" w:eastAsia="仿宋_GB2312"/>
          <w:sz w:val="32"/>
          <w:szCs w:val="32"/>
        </w:rPr>
        <w:t>实现“三馆一站”免费开放100%覆盖率，</w:t>
      </w:r>
      <w:r>
        <w:rPr>
          <w:rFonts w:ascii="仿宋_GB2312" w:eastAsia="仿宋_GB2312"/>
          <w:sz w:val="32"/>
          <w:szCs w:val="32"/>
        </w:rPr>
        <w:t>在实施过程中严格按照目标设立的任务进行开展工作，保证</w:t>
      </w:r>
      <w:r>
        <w:rPr>
          <w:rFonts w:hint="eastAsia" w:ascii="仿宋_GB2312" w:eastAsia="仿宋_GB2312"/>
          <w:sz w:val="32"/>
          <w:szCs w:val="32"/>
        </w:rPr>
        <w:t>项目顺利实施</w:t>
      </w:r>
      <w:r>
        <w:rPr>
          <w:rFonts w:ascii="仿宋_GB2312" w:eastAsia="仿宋_GB2312"/>
          <w:sz w:val="32"/>
          <w:szCs w:val="32"/>
        </w:rPr>
        <w:t>。</w:t>
      </w:r>
    </w:p>
    <w:p w14:paraId="55CF7B9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仿宋_GB2312" w:eastAsia="仿宋_GB2312"/>
          <w:sz w:val="32"/>
          <w:szCs w:val="32"/>
        </w:rPr>
        <w:t>本项目总投资</w:t>
      </w:r>
      <w:r>
        <w:rPr>
          <w:rFonts w:hint="eastAsia" w:ascii="仿宋_GB2312" w:eastAsia="仿宋_GB2312"/>
          <w:sz w:val="32"/>
          <w:szCs w:val="32"/>
        </w:rPr>
        <w:t>1749</w:t>
      </w:r>
      <w:r>
        <w:rPr>
          <w:rFonts w:ascii="仿宋_GB2312" w:eastAsia="仿宋_GB2312"/>
          <w:sz w:val="32"/>
          <w:szCs w:val="32"/>
        </w:rPr>
        <w:t>万元，其中：财政本级资金</w:t>
      </w:r>
      <w:r>
        <w:rPr>
          <w:rFonts w:hint="eastAsia" w:ascii="仿宋_GB2312" w:eastAsia="仿宋_GB2312"/>
          <w:sz w:val="32"/>
          <w:szCs w:val="32"/>
        </w:rPr>
        <w:t>1749</w:t>
      </w:r>
      <w:r>
        <w:rPr>
          <w:rFonts w:ascii="仿宋_GB2312" w:eastAsia="仿宋_GB2312"/>
          <w:sz w:val="32"/>
          <w:szCs w:val="32"/>
        </w:rPr>
        <w:t>万元。项目实际支出</w:t>
      </w:r>
      <w:r>
        <w:rPr>
          <w:rFonts w:hint="eastAsia" w:ascii="仿宋_GB2312" w:eastAsia="仿宋_GB2312"/>
          <w:sz w:val="32"/>
          <w:szCs w:val="32"/>
        </w:rPr>
        <w:t>1364.81</w:t>
      </w:r>
      <w:r>
        <w:rPr>
          <w:rFonts w:ascii="仿宋_GB2312" w:eastAsia="仿宋_GB2312"/>
          <w:sz w:val="32"/>
          <w:szCs w:val="32"/>
        </w:rPr>
        <w:t>万元，支出率为</w:t>
      </w:r>
      <w:r>
        <w:rPr>
          <w:rFonts w:hint="eastAsia" w:ascii="仿宋_GB2312" w:eastAsia="仿宋_GB2312"/>
          <w:sz w:val="32"/>
          <w:szCs w:val="32"/>
        </w:rPr>
        <w:t>78.03</w:t>
      </w:r>
      <w:r>
        <w:rPr>
          <w:rFonts w:ascii="仿宋_GB2312" w:eastAsia="仿宋_GB2312"/>
          <w:sz w:val="32"/>
          <w:szCs w:val="32"/>
        </w:rPr>
        <w:t>%。</w:t>
      </w:r>
    </w:p>
    <w:p w14:paraId="6BC6BDB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b/>
          <w:bCs/>
          <w:sz w:val="32"/>
          <w:szCs w:val="32"/>
        </w:rPr>
      </w:pPr>
      <w:r>
        <w:rPr>
          <w:rFonts w:hint="eastAsia" w:ascii="CESI仿宋-GB2312" w:hAnsi="CESI仿宋-GB2312" w:eastAsia="CESI仿宋-GB2312" w:cs="CESI仿宋-GB2312"/>
          <w:b w:val="0"/>
          <w:bCs w:val="0"/>
          <w:sz w:val="32"/>
          <w:szCs w:val="32"/>
        </w:rPr>
        <w:t>3.资金投入和使用情况</w:t>
      </w:r>
    </w:p>
    <w:p w14:paraId="78E46C5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20"/>
          <w:szCs w:val="20"/>
        </w:rPr>
      </w:pPr>
      <w:r>
        <w:rPr>
          <w:rFonts w:hint="eastAsia" w:ascii="CESI仿宋-GB2312" w:hAnsi="CESI仿宋-GB2312" w:eastAsia="CESI仿宋-GB2312" w:cs="CESI仿宋-GB2312"/>
          <w:sz w:val="32"/>
          <w:szCs w:val="32"/>
        </w:rPr>
        <w:t>（1）资金</w:t>
      </w:r>
      <w:r>
        <w:rPr>
          <w:rFonts w:eastAsia="仿宋_GB2312"/>
          <w:sz w:val="32"/>
          <w:szCs w:val="32"/>
        </w:rPr>
        <w:t>安排</w:t>
      </w:r>
    </w:p>
    <w:p w14:paraId="4BA049A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仿宋_GB2312" w:eastAsia="仿宋_GB2312"/>
          <w:sz w:val="32"/>
          <w:szCs w:val="32"/>
        </w:rPr>
        <w:t>项目总投资</w:t>
      </w:r>
      <w:r>
        <w:rPr>
          <w:rFonts w:hint="eastAsia" w:ascii="仿宋_GB2312" w:eastAsia="仿宋_GB2312"/>
          <w:sz w:val="32"/>
          <w:szCs w:val="32"/>
        </w:rPr>
        <w:t>1749</w:t>
      </w:r>
      <w:r>
        <w:rPr>
          <w:rFonts w:ascii="仿宋_GB2312" w:eastAsia="仿宋_GB2312"/>
          <w:sz w:val="32"/>
          <w:szCs w:val="32"/>
        </w:rPr>
        <w:t>万元，按照单位财务制度等相关规定，资金支出</w:t>
      </w:r>
      <w:r>
        <w:rPr>
          <w:rFonts w:hint="eastAsia" w:ascii="仿宋_GB2312" w:eastAsia="仿宋_GB2312"/>
          <w:sz w:val="32"/>
          <w:szCs w:val="32"/>
        </w:rPr>
        <w:t>符合</w:t>
      </w:r>
      <w:r>
        <w:rPr>
          <w:rFonts w:hint="eastAsia" w:eastAsia="仿宋_GB2312"/>
          <w:sz w:val="32"/>
          <w:szCs w:val="32"/>
        </w:rPr>
        <w:t>“三馆一站”</w:t>
      </w:r>
      <w:r>
        <w:rPr>
          <w:rFonts w:hint="eastAsia" w:ascii="仿宋_GB2312" w:eastAsia="仿宋_GB2312"/>
          <w:sz w:val="32"/>
          <w:szCs w:val="32"/>
        </w:rPr>
        <w:t>免费开放自治区配套</w:t>
      </w:r>
      <w:r>
        <w:rPr>
          <w:rFonts w:ascii="仿宋_GB2312" w:eastAsia="仿宋_GB2312"/>
          <w:sz w:val="32"/>
          <w:szCs w:val="32"/>
        </w:rPr>
        <w:t>专项资金费用范围，做到了专款专用。在项目资金拨付和使用过程中，为确保项目资金的安全性，提高项目资金使用效率，严格遵循</w:t>
      </w:r>
      <w:r>
        <w:rPr>
          <w:rFonts w:hint="eastAsia" w:eastAsia="仿宋_GB2312"/>
          <w:sz w:val="32"/>
          <w:szCs w:val="32"/>
        </w:rPr>
        <w:t>“三馆一站”</w:t>
      </w:r>
      <w:r>
        <w:rPr>
          <w:rFonts w:hint="eastAsia" w:ascii="仿宋_GB2312" w:eastAsia="仿宋_GB2312"/>
          <w:sz w:val="32"/>
          <w:szCs w:val="32"/>
        </w:rPr>
        <w:t>免费开放自治区配套</w:t>
      </w:r>
      <w:r>
        <w:rPr>
          <w:rFonts w:ascii="仿宋_GB2312" w:eastAsia="仿宋_GB2312"/>
          <w:sz w:val="32"/>
          <w:szCs w:val="32"/>
        </w:rPr>
        <w:t>资金的拨付程序</w:t>
      </w:r>
      <w:r>
        <w:rPr>
          <w:rFonts w:hint="eastAsia" w:ascii="仿宋_GB2312" w:eastAsia="仿宋_GB2312"/>
          <w:sz w:val="32"/>
          <w:szCs w:val="32"/>
        </w:rPr>
        <w:t>，</w:t>
      </w:r>
      <w:r>
        <w:rPr>
          <w:rFonts w:eastAsia="仿宋_GB2312"/>
          <w:sz w:val="32"/>
          <w:szCs w:val="32"/>
        </w:rPr>
        <w:t>根据</w:t>
      </w:r>
      <w:r>
        <w:rPr>
          <w:rFonts w:hint="eastAsia" w:eastAsia="仿宋_GB2312"/>
          <w:sz w:val="32"/>
          <w:szCs w:val="32"/>
        </w:rPr>
        <w:t>资金分配方案</w:t>
      </w:r>
      <w:r>
        <w:rPr>
          <w:rFonts w:eastAsia="仿宋_GB2312"/>
          <w:sz w:val="32"/>
          <w:szCs w:val="32"/>
        </w:rPr>
        <w:t>拨付资金。</w:t>
      </w:r>
    </w:p>
    <w:p w14:paraId="24C8158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（2）预算资金来源及使用情况</w:t>
      </w:r>
      <w:bookmarkStart w:id="0" w:name="page10"/>
      <w:bookmarkEnd w:id="0"/>
    </w:p>
    <w:p w14:paraId="55DDBDF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b/>
          <w:bCs/>
        </w:rPr>
      </w:pPr>
      <w:r>
        <w:rPr>
          <w:rFonts w:ascii="仿宋_GB2312" w:eastAsia="仿宋_GB2312"/>
          <w:sz w:val="32"/>
          <w:szCs w:val="32"/>
        </w:rPr>
        <w:t>项目预算资金来源于</w:t>
      </w:r>
      <w:r>
        <w:rPr>
          <w:rFonts w:hint="eastAsia" w:ascii="仿宋_GB2312" w:eastAsia="仿宋_GB2312"/>
          <w:sz w:val="32"/>
          <w:szCs w:val="32"/>
        </w:rPr>
        <w:t>自治区财政厅《关于提前下达2022年中央补助地方美术馆、公共图书馆、文化馆（站）免费开放补助资金预算的通知》（新财教〔2021〕217号）和《关于提前下达2022年自治区补助地方美术馆、公共图书馆、文化馆（站）免费开放补助资金预算的通知》（新财教〔2021〕218号）</w:t>
      </w:r>
      <w:r>
        <w:rPr>
          <w:rFonts w:ascii="仿宋_GB2312" w:eastAsia="仿宋_GB2312"/>
          <w:sz w:val="32"/>
          <w:szCs w:val="32"/>
        </w:rPr>
        <w:t>，项目资金到位</w:t>
      </w:r>
      <w:r>
        <w:rPr>
          <w:rFonts w:hint="eastAsia" w:ascii="仿宋_GB2312" w:eastAsia="仿宋_GB2312"/>
          <w:sz w:val="32"/>
          <w:szCs w:val="32"/>
        </w:rPr>
        <w:t>1749</w:t>
      </w:r>
      <w:r>
        <w:rPr>
          <w:rFonts w:ascii="仿宋_GB2312" w:eastAsia="仿宋_GB2312"/>
          <w:sz w:val="32"/>
          <w:szCs w:val="32"/>
        </w:rPr>
        <w:t>万元，</w:t>
      </w:r>
      <w:r>
        <w:rPr>
          <w:rFonts w:hint="eastAsia" w:ascii="仿宋_GB2312" w:eastAsia="仿宋_GB2312"/>
          <w:sz w:val="32"/>
          <w:szCs w:val="32"/>
        </w:rPr>
        <w:t>全年执行1364.81万元，预算执行率为78.03</w:t>
      </w:r>
      <w:r>
        <w:rPr>
          <w:rFonts w:ascii="仿宋_GB2312" w:eastAsia="仿宋_GB2312"/>
          <w:sz w:val="32"/>
          <w:szCs w:val="32"/>
        </w:rPr>
        <w:t>%,</w:t>
      </w:r>
      <w:r>
        <w:rPr>
          <w:rFonts w:hint="eastAsia" w:ascii="仿宋_GB2312" w:eastAsia="仿宋_GB2312"/>
          <w:sz w:val="32"/>
          <w:szCs w:val="32"/>
        </w:rPr>
        <w:t>主要</w:t>
      </w:r>
      <w:r>
        <w:rPr>
          <w:rFonts w:ascii="仿宋_GB2312" w:eastAsia="仿宋_GB2312"/>
          <w:sz w:val="32"/>
          <w:szCs w:val="32"/>
        </w:rPr>
        <w:t>用于支付项目实施进程中的各项费用。</w:t>
      </w:r>
    </w:p>
    <w:p w14:paraId="329AACB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eastAsia="楷体_GB2312"/>
          <w:b/>
          <w:bCs/>
          <w:sz w:val="32"/>
          <w:szCs w:val="32"/>
        </w:rPr>
      </w:pPr>
      <w:r>
        <w:rPr>
          <w:rFonts w:eastAsia="楷体_GB2312"/>
          <w:b/>
          <w:bCs/>
          <w:sz w:val="32"/>
          <w:szCs w:val="32"/>
        </w:rPr>
        <w:t>（二）项目绩效目标</w:t>
      </w:r>
    </w:p>
    <w:p w14:paraId="313897B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ascii="CESI仿宋-GB2312" w:hAnsi="CESI仿宋-GB2312" w:eastAsia="CESI仿宋-GB2312" w:cs="CESI仿宋-GB2312"/>
          <w:sz w:val="32"/>
          <w:szCs w:val="32"/>
        </w:rPr>
        <w:t>1.</w:t>
      </w:r>
      <w:r>
        <w:rPr>
          <w:rFonts w:eastAsia="仿宋_GB2312"/>
          <w:sz w:val="32"/>
          <w:szCs w:val="32"/>
        </w:rPr>
        <w:t>总体目标</w:t>
      </w:r>
    </w:p>
    <w:p w14:paraId="502123E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eastAsia="仿宋_GB2312"/>
          <w:sz w:val="32"/>
          <w:szCs w:val="32"/>
        </w:rPr>
        <w:t>贯彻落实党中央、自治区党委关于“推进美术馆、图书馆、文化馆（站）免费开放，丰富人民群众的精神文化生活”的要求，充分发挥“三馆一站”在提高公民鉴赏能力、提高各族群众思想道德和科学文化素质的作用，保障各族群众基本权益，促进社会和谐稳定。</w:t>
      </w:r>
    </w:p>
    <w:p w14:paraId="47E20D9F">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CESI仿宋-GB2312" w:hAnsi="CESI仿宋-GB2312" w:eastAsia="CESI仿宋-GB2312" w:cs="CESI仿宋-GB2312"/>
          <w:sz w:val="32"/>
          <w:szCs w:val="32"/>
        </w:rPr>
        <w:t>2.阶段</w:t>
      </w:r>
      <w:r>
        <w:rPr>
          <w:rFonts w:eastAsia="仿宋_GB2312"/>
          <w:sz w:val="32"/>
          <w:szCs w:val="32"/>
        </w:rPr>
        <w:t>性目标</w:t>
      </w:r>
    </w:p>
    <w:p w14:paraId="12D114F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ascii="CESI仿宋-GB2312" w:hAnsi="CESI仿宋-GB2312" w:eastAsia="CESI仿宋-GB2312" w:cs="CESI仿宋-GB2312"/>
          <w:sz w:val="32"/>
          <w:szCs w:val="32"/>
        </w:rPr>
        <w:t>（1）前期准备：2021年</w:t>
      </w:r>
      <w:r>
        <w:rPr>
          <w:rFonts w:hint="eastAsia" w:eastAsia="仿宋_GB2312"/>
          <w:sz w:val="32"/>
          <w:szCs w:val="32"/>
        </w:rPr>
        <w:t>年底</w:t>
      </w:r>
      <w:r>
        <w:rPr>
          <w:rFonts w:eastAsia="仿宋_GB2312"/>
          <w:sz w:val="32"/>
          <w:szCs w:val="32"/>
        </w:rPr>
        <w:t>制定</w:t>
      </w:r>
      <w:r>
        <w:rPr>
          <w:rFonts w:hint="eastAsia" w:ascii="仿宋_GB2312" w:eastAsia="仿宋_GB2312"/>
          <w:sz w:val="32"/>
          <w:szCs w:val="32"/>
        </w:rPr>
        <w:t>资金分配</w:t>
      </w:r>
      <w:r>
        <w:rPr>
          <w:rFonts w:eastAsia="仿宋_GB2312"/>
          <w:sz w:val="32"/>
          <w:szCs w:val="32"/>
        </w:rPr>
        <w:t>方案，经</w:t>
      </w:r>
      <w:r>
        <w:rPr>
          <w:rFonts w:hint="eastAsia" w:eastAsia="仿宋_GB2312"/>
          <w:sz w:val="32"/>
          <w:szCs w:val="32"/>
        </w:rPr>
        <w:t>自治区文化和旅游厅党组审议</w:t>
      </w:r>
      <w:r>
        <w:rPr>
          <w:rFonts w:eastAsia="仿宋_GB2312"/>
          <w:sz w:val="32"/>
          <w:szCs w:val="32"/>
        </w:rPr>
        <w:t>通过后，有序开展后续工作。</w:t>
      </w:r>
    </w:p>
    <w:p w14:paraId="0219977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ascii="CESI仿宋-GB2312" w:hAnsi="CESI仿宋-GB2312" w:eastAsia="CESI仿宋-GB2312" w:cs="CESI仿宋-GB2312"/>
          <w:sz w:val="32"/>
          <w:szCs w:val="32"/>
        </w:rPr>
        <w:t>（2）组</w:t>
      </w:r>
      <w:r>
        <w:rPr>
          <w:rFonts w:eastAsia="仿宋_GB2312"/>
          <w:sz w:val="32"/>
          <w:szCs w:val="32"/>
        </w:rPr>
        <w:t>织实施：资金一到位，立即根据项目要求实施项目。</w:t>
      </w:r>
      <w:r>
        <w:rPr>
          <w:rFonts w:hint="eastAsia" w:eastAsia="仿宋_GB2312"/>
          <w:sz w:val="32"/>
          <w:szCs w:val="32"/>
        </w:rPr>
        <w:t>各相关单位</w:t>
      </w:r>
      <w:r>
        <w:rPr>
          <w:rFonts w:eastAsia="仿宋_GB2312"/>
          <w:sz w:val="32"/>
          <w:szCs w:val="32"/>
        </w:rPr>
        <w:t>按照</w:t>
      </w:r>
      <w:r>
        <w:rPr>
          <w:rFonts w:hint="eastAsia" w:eastAsia="仿宋_GB2312"/>
          <w:sz w:val="32"/>
          <w:szCs w:val="32"/>
        </w:rPr>
        <w:t>本地“三馆一站”实际情况逐级</w:t>
      </w:r>
      <w:r>
        <w:rPr>
          <w:rFonts w:eastAsia="仿宋_GB2312"/>
          <w:sz w:val="32"/>
          <w:szCs w:val="32"/>
        </w:rPr>
        <w:t>进行</w:t>
      </w:r>
      <w:r>
        <w:rPr>
          <w:rFonts w:hint="eastAsia" w:eastAsia="仿宋_GB2312"/>
          <w:sz w:val="32"/>
          <w:szCs w:val="32"/>
        </w:rPr>
        <w:t>资金分配</w:t>
      </w:r>
      <w:r>
        <w:rPr>
          <w:rFonts w:eastAsia="仿宋_GB2312"/>
          <w:sz w:val="32"/>
          <w:szCs w:val="32"/>
        </w:rPr>
        <w:t>，提高项目质量及效率性。</w:t>
      </w:r>
    </w:p>
    <w:p w14:paraId="2B15811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sz w:val="32"/>
          <w:szCs w:val="32"/>
        </w:rPr>
      </w:pPr>
      <w:r>
        <w:rPr>
          <w:rFonts w:eastAsia="黑体"/>
          <w:sz w:val="32"/>
          <w:szCs w:val="32"/>
        </w:rPr>
        <w:t>二、绩效评价工作开展情况</w:t>
      </w:r>
    </w:p>
    <w:p w14:paraId="2DCE7BDB">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eastAsia="楷体_GB2312"/>
          <w:b/>
          <w:bCs/>
          <w:sz w:val="32"/>
          <w:szCs w:val="32"/>
        </w:rPr>
      </w:pPr>
      <w:r>
        <w:rPr>
          <w:rFonts w:eastAsia="楷体_GB2312"/>
          <w:b/>
          <w:bCs/>
          <w:sz w:val="32"/>
          <w:szCs w:val="32"/>
        </w:rPr>
        <w:t>（一）绩效评价目的、对象和范围</w:t>
      </w:r>
    </w:p>
    <w:p w14:paraId="5B93C6D4">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outlineLvl w:val="9"/>
        <w:rPr>
          <w:rFonts w:ascii="Times New Roman" w:hAnsi="Times New Roman" w:eastAsia="仿宋_GB2312"/>
          <w:b w:val="0"/>
          <w:bCs w:val="0"/>
        </w:rPr>
      </w:pPr>
      <w:r>
        <w:rPr>
          <w:rFonts w:hint="eastAsia" w:ascii="CESI仿宋-GB2312" w:hAnsi="CESI仿宋-GB2312" w:eastAsia="CESI仿宋-GB2312" w:cs="CESI仿宋-GB2312"/>
          <w:b w:val="0"/>
          <w:bCs w:val="0"/>
        </w:rPr>
        <w:t>1.绩</w:t>
      </w:r>
      <w:r>
        <w:rPr>
          <w:rFonts w:ascii="Times New Roman" w:hAnsi="Times New Roman" w:eastAsia="仿宋_GB2312"/>
          <w:b w:val="0"/>
          <w:bCs w:val="0"/>
        </w:rPr>
        <w:t>效评价的目的</w:t>
      </w:r>
    </w:p>
    <w:p w14:paraId="3678A28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财政支出绩效评价运用科学、规范的绩效评价方法，制定统一的评价标准，使财政资金得到事前、事中和事后多方面的控制。财政支出绩效评价贯穿于财政支出安排和实施的全过程，是对财政支出效益、管理水平、投入风险等方面的综合评价；是发挥财政调控功能、提高财政资金安排科学性、促进财政支持社会经济目标实现的重要保证。</w:t>
      </w:r>
    </w:p>
    <w:p w14:paraId="0D327DDF">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outlineLvl w:val="9"/>
        <w:rPr>
          <w:rFonts w:ascii="Times New Roman" w:hAnsi="Times New Roman" w:eastAsia="仿宋_GB2312"/>
          <w:b w:val="0"/>
          <w:bCs w:val="0"/>
        </w:rPr>
      </w:pPr>
      <w:r>
        <w:rPr>
          <w:rFonts w:hint="eastAsia" w:ascii="CESI仿宋-GB2312" w:hAnsi="CESI仿宋-GB2312" w:eastAsia="CESI仿宋-GB2312" w:cs="CESI仿宋-GB2312"/>
          <w:b w:val="0"/>
          <w:bCs w:val="0"/>
        </w:rPr>
        <w:t>2.绩</w:t>
      </w:r>
      <w:r>
        <w:rPr>
          <w:rFonts w:ascii="Times New Roman" w:hAnsi="Times New Roman" w:eastAsia="仿宋_GB2312"/>
          <w:b w:val="0"/>
          <w:bCs w:val="0"/>
        </w:rPr>
        <w:t>效评价的对象</w:t>
      </w:r>
    </w:p>
    <w:p w14:paraId="64D3C8F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2022年“三馆一站”</w:t>
      </w:r>
      <w:r>
        <w:rPr>
          <w:rFonts w:hint="eastAsia" w:ascii="CESI仿宋-GB2312" w:hAnsi="CESI仿宋-GB2312" w:eastAsia="CESI仿宋-GB2312" w:cs="CESI仿宋-GB2312"/>
          <w:kern w:val="0"/>
          <w:sz w:val="32"/>
          <w:szCs w:val="32"/>
        </w:rPr>
        <w:t>免费开放自治区配套</w:t>
      </w:r>
      <w:r>
        <w:rPr>
          <w:rFonts w:hint="eastAsia" w:ascii="CESI仿宋-GB2312" w:hAnsi="CESI仿宋-GB2312" w:eastAsia="CESI仿宋-GB2312" w:cs="CESI仿宋-GB2312"/>
          <w:sz w:val="32"/>
          <w:szCs w:val="32"/>
        </w:rPr>
        <w:t>专项资金拨付各地州的项目所包含的全部项目建设内容。</w:t>
      </w:r>
    </w:p>
    <w:p w14:paraId="4D4584AB">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outlineLvl w:val="9"/>
        <w:rPr>
          <w:rFonts w:ascii="Times New Roman" w:hAnsi="Times New Roman" w:eastAsia="仿宋_GB2312"/>
          <w:b w:val="0"/>
          <w:bCs w:val="0"/>
        </w:rPr>
      </w:pPr>
      <w:r>
        <w:rPr>
          <w:rFonts w:hint="eastAsia" w:ascii="CESI仿宋-GB2312" w:hAnsi="CESI仿宋-GB2312" w:eastAsia="CESI仿宋-GB2312" w:cs="CESI仿宋-GB2312"/>
          <w:b w:val="0"/>
          <w:bCs w:val="0"/>
        </w:rPr>
        <w:t>3.绩效评价</w:t>
      </w:r>
      <w:r>
        <w:rPr>
          <w:rFonts w:ascii="Times New Roman" w:hAnsi="Times New Roman" w:eastAsia="仿宋_GB2312"/>
          <w:b w:val="0"/>
          <w:bCs w:val="0"/>
        </w:rPr>
        <w:t>的范围</w:t>
      </w:r>
    </w:p>
    <w:p w14:paraId="19CEAD1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本次评价从项目决策（包括绩效目标、决策过程）、项目管理（包括项目资金、项目实施）、项目产出（包括项目产出数量、产出质量、产出时效和产出成本）项目效益四个维度对</w:t>
      </w:r>
      <w:r>
        <w:rPr>
          <w:rFonts w:hint="eastAsia" w:eastAsia="仿宋_GB2312"/>
          <w:sz w:val="32"/>
          <w:szCs w:val="32"/>
        </w:rPr>
        <w:t>2022年“三馆一站”</w:t>
      </w:r>
      <w:r>
        <w:rPr>
          <w:rFonts w:hint="eastAsia" w:eastAsia="仿宋_GB2312"/>
          <w:kern w:val="0"/>
          <w:sz w:val="32"/>
          <w:szCs w:val="32"/>
        </w:rPr>
        <w:t>免费开放自治区配套</w:t>
      </w:r>
      <w:r>
        <w:rPr>
          <w:rFonts w:eastAsia="仿宋_GB2312"/>
          <w:sz w:val="32"/>
          <w:szCs w:val="32"/>
        </w:rPr>
        <w:t>专项资金</w:t>
      </w:r>
      <w:r>
        <w:rPr>
          <w:rFonts w:hint="eastAsia" w:ascii="仿宋_GB2312" w:hAnsi="仿宋_GB2312" w:eastAsia="仿宋_GB2312" w:cs="仿宋_GB2312"/>
          <w:sz w:val="32"/>
          <w:szCs w:val="32"/>
        </w:rPr>
        <w:t>进行评价，评价核心为专项资金的支出完成情况和效果。</w:t>
      </w:r>
    </w:p>
    <w:p w14:paraId="1250BE81">
      <w:pPr>
        <w:keepNext w:val="0"/>
        <w:keepLines w:val="0"/>
        <w:pageBreakBefore w:val="0"/>
        <w:kinsoku/>
        <w:wordWrap/>
        <w:overflowPunct/>
        <w:topLinePunct w:val="0"/>
        <w:autoSpaceDE/>
        <w:autoSpaceDN/>
        <w:bidi w:val="0"/>
        <w:adjustRightInd/>
        <w:snapToGrid/>
        <w:spacing w:line="560" w:lineRule="exact"/>
        <w:ind w:firstLine="643" w:firstLineChars="200"/>
        <w:textAlignment w:val="auto"/>
      </w:pPr>
      <w:r>
        <w:rPr>
          <w:rFonts w:eastAsia="楷体_GB2312"/>
          <w:b/>
          <w:bCs/>
          <w:sz w:val="32"/>
          <w:szCs w:val="32"/>
        </w:rPr>
        <w:t>（二）绩效评价原则、评价指标体系（详情见表1）、评价方法、评价标准。</w:t>
      </w:r>
    </w:p>
    <w:p w14:paraId="3EF87B56">
      <w:pPr>
        <w:pStyle w:val="2"/>
        <w:keepNext w:val="0"/>
        <w:keepLines w:val="0"/>
        <w:pageBreakBefore w:val="0"/>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CESI仿宋-GB2312" w:hAnsi="CESI仿宋-GB2312" w:eastAsia="CESI仿宋-GB2312" w:cs="CESI仿宋-GB2312"/>
          <w:b w:val="0"/>
          <w:bCs w:val="0"/>
        </w:rPr>
      </w:pPr>
      <w:r>
        <w:rPr>
          <w:rFonts w:hint="eastAsia" w:ascii="CESI仿宋-GB2312" w:hAnsi="CESI仿宋-GB2312" w:eastAsia="CESI仿宋-GB2312" w:cs="CESI仿宋-GB2312"/>
          <w:b w:val="0"/>
          <w:bCs w:val="0"/>
        </w:rPr>
        <w:t>1.绩效评价原则</w:t>
      </w:r>
    </w:p>
    <w:p w14:paraId="2617A6D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hint="eastAsia" w:ascii="CESI仿宋-GB2312" w:hAnsi="CESI仿宋-GB2312" w:eastAsia="CESI仿宋-GB2312" w:cs="CESI仿宋-GB2312"/>
          <w:color w:val="000000"/>
          <w:sz w:val="32"/>
          <w:szCs w:val="32"/>
        </w:rPr>
        <w:t>本次</w:t>
      </w:r>
      <w:r>
        <w:rPr>
          <w:rFonts w:eastAsia="仿宋_GB2312"/>
          <w:color w:val="000000"/>
          <w:sz w:val="32"/>
          <w:szCs w:val="32"/>
        </w:rPr>
        <w:t>项目绩效评价遵循以下基本原则：</w:t>
      </w:r>
    </w:p>
    <w:p w14:paraId="12CCB483">
      <w:pPr>
        <w:pStyle w:val="2"/>
        <w:keepNext w:val="0"/>
        <w:keepLines w:val="0"/>
        <w:pageBreakBefore w:val="0"/>
        <w:kinsoku/>
        <w:wordWrap/>
        <w:overflowPunct/>
        <w:topLinePunct w:val="0"/>
        <w:autoSpaceDE/>
        <w:autoSpaceDN/>
        <w:bidi w:val="0"/>
        <w:adjustRightInd/>
        <w:snapToGrid/>
        <w:spacing w:before="0" w:after="0" w:line="560" w:lineRule="exact"/>
        <w:ind w:firstLine="640" w:firstLineChars="200"/>
        <w:jc w:val="both"/>
        <w:textAlignment w:val="auto"/>
        <w:outlineLvl w:val="9"/>
        <w:rPr>
          <w:rFonts w:ascii="Times New Roman" w:hAnsi="Times New Roman" w:eastAsia="仿宋_GB2312"/>
          <w:b w:val="0"/>
          <w:bCs w:val="0"/>
        </w:rPr>
      </w:pPr>
      <w:r>
        <w:rPr>
          <w:rFonts w:hint="eastAsia" w:ascii="CESI仿宋-GB2312" w:hAnsi="CESI仿宋-GB2312" w:eastAsia="CESI仿宋-GB2312" w:cs="CESI仿宋-GB2312"/>
          <w:b w:val="0"/>
          <w:bCs w:val="0"/>
        </w:rPr>
        <w:t>（1）科学公正。绩效评价应当运用科学合理的方法，按照规范的程</w:t>
      </w:r>
      <w:r>
        <w:rPr>
          <w:rFonts w:ascii="Times New Roman" w:hAnsi="Times New Roman" w:eastAsia="仿宋_GB2312"/>
          <w:b w:val="0"/>
          <w:bCs w:val="0"/>
        </w:rPr>
        <w:t>序，对项目绩效进行客观、公正的反映。</w:t>
      </w:r>
    </w:p>
    <w:p w14:paraId="69B19B88">
      <w:pPr>
        <w:pStyle w:val="2"/>
        <w:keepNext w:val="0"/>
        <w:keepLines w:val="0"/>
        <w:pageBreakBefore w:val="0"/>
        <w:kinsoku/>
        <w:wordWrap/>
        <w:overflowPunct/>
        <w:topLinePunct w:val="0"/>
        <w:autoSpaceDE/>
        <w:autoSpaceDN/>
        <w:bidi w:val="0"/>
        <w:adjustRightInd/>
        <w:snapToGrid/>
        <w:spacing w:before="0" w:after="0" w:line="560" w:lineRule="exact"/>
        <w:ind w:firstLine="640" w:firstLineChars="200"/>
        <w:jc w:val="both"/>
        <w:textAlignment w:val="auto"/>
        <w:outlineLvl w:val="9"/>
        <w:rPr>
          <w:rFonts w:ascii="Times New Roman" w:hAnsi="Times New Roman" w:eastAsia="仿宋_GB2312"/>
          <w:b w:val="0"/>
          <w:bCs w:val="0"/>
        </w:rPr>
      </w:pPr>
      <w:r>
        <w:rPr>
          <w:rFonts w:hint="eastAsia" w:ascii="CESI仿宋-GB2312" w:hAnsi="CESI仿宋-GB2312" w:eastAsia="CESI仿宋-GB2312" w:cs="CESI仿宋-GB2312"/>
          <w:b w:val="0"/>
          <w:bCs w:val="0"/>
        </w:rPr>
        <w:t>（2）统筹兼顾。单位自评、部门评价和财政评价应职责明确，各有侧</w:t>
      </w:r>
      <w:r>
        <w:rPr>
          <w:rFonts w:ascii="Times New Roman" w:hAnsi="Times New Roman" w:eastAsia="仿宋_GB2312"/>
          <w:b w:val="0"/>
          <w:bCs w:val="0"/>
        </w:rPr>
        <w:t>重，相互衔接。单位自评应由项目单位自主实施，即“谁支出、谁自评”。部门评价和财政评价应在单位自评的基础上开展。</w:t>
      </w:r>
    </w:p>
    <w:p w14:paraId="042A7830">
      <w:pPr>
        <w:pStyle w:val="2"/>
        <w:keepNext w:val="0"/>
        <w:keepLines w:val="0"/>
        <w:pageBreakBefore w:val="0"/>
        <w:kinsoku/>
        <w:wordWrap/>
        <w:overflowPunct/>
        <w:topLinePunct w:val="0"/>
        <w:autoSpaceDE/>
        <w:autoSpaceDN/>
        <w:bidi w:val="0"/>
        <w:adjustRightInd/>
        <w:snapToGrid/>
        <w:spacing w:before="0" w:after="0" w:line="560" w:lineRule="exact"/>
        <w:ind w:firstLine="640" w:firstLineChars="200"/>
        <w:jc w:val="both"/>
        <w:textAlignment w:val="auto"/>
        <w:outlineLvl w:val="9"/>
        <w:rPr>
          <w:rFonts w:ascii="Times New Roman" w:hAnsi="Times New Roman" w:eastAsia="仿宋_GB2312"/>
          <w:b w:val="0"/>
          <w:bCs w:val="0"/>
        </w:rPr>
      </w:pPr>
      <w:r>
        <w:rPr>
          <w:rFonts w:hint="eastAsia" w:ascii="CESI仿宋-GB2312" w:hAnsi="CESI仿宋-GB2312" w:eastAsia="CESI仿宋-GB2312" w:cs="CESI仿宋-GB2312"/>
          <w:b w:val="0"/>
          <w:bCs w:val="0"/>
        </w:rPr>
        <w:t>（3）激</w:t>
      </w:r>
      <w:r>
        <w:rPr>
          <w:rFonts w:ascii="Times New Roman" w:hAnsi="Times New Roman" w:eastAsia="仿宋_GB2312"/>
          <w:b w:val="0"/>
          <w:bCs w:val="0"/>
        </w:rPr>
        <w:t>励约束。绩效评价结果应与预算安排、政策调整、改进管理实质性挂钩，体现奖优罚劣和激励相容导向。</w:t>
      </w:r>
    </w:p>
    <w:p w14:paraId="6B7BF7D2">
      <w:pPr>
        <w:pStyle w:val="2"/>
        <w:keepNext w:val="0"/>
        <w:keepLines w:val="0"/>
        <w:pageBreakBefore w:val="0"/>
        <w:kinsoku/>
        <w:wordWrap/>
        <w:overflowPunct/>
        <w:topLinePunct w:val="0"/>
        <w:autoSpaceDE/>
        <w:autoSpaceDN/>
        <w:bidi w:val="0"/>
        <w:adjustRightInd/>
        <w:snapToGrid/>
        <w:spacing w:before="0" w:after="0" w:line="560" w:lineRule="exact"/>
        <w:ind w:firstLine="640" w:firstLineChars="200"/>
        <w:jc w:val="both"/>
        <w:textAlignment w:val="auto"/>
        <w:outlineLvl w:val="9"/>
        <w:rPr>
          <w:rFonts w:ascii="Times New Roman" w:hAnsi="Times New Roman" w:eastAsia="仿宋_GB2312"/>
          <w:b w:val="0"/>
          <w:bCs w:val="0"/>
        </w:rPr>
      </w:pPr>
      <w:r>
        <w:rPr>
          <w:rFonts w:hint="eastAsia" w:ascii="CESI仿宋-GB2312" w:hAnsi="CESI仿宋-GB2312" w:eastAsia="CESI仿宋-GB2312" w:cs="CESI仿宋-GB2312"/>
          <w:b w:val="0"/>
          <w:bCs w:val="0"/>
        </w:rPr>
        <w:t>（4）公开</w:t>
      </w:r>
      <w:r>
        <w:rPr>
          <w:rFonts w:ascii="Times New Roman" w:hAnsi="Times New Roman" w:eastAsia="仿宋_GB2312"/>
          <w:b w:val="0"/>
          <w:bCs w:val="0"/>
        </w:rPr>
        <w:t>透明。绩效评价结果应依法依规公开，并自觉接受社会监督。</w:t>
      </w:r>
    </w:p>
    <w:p w14:paraId="457CB586">
      <w:pPr>
        <w:pStyle w:val="2"/>
        <w:keepNext w:val="0"/>
        <w:keepLines w:val="0"/>
        <w:pageBreakBefore w:val="0"/>
        <w:kinsoku/>
        <w:wordWrap/>
        <w:overflowPunct/>
        <w:topLinePunct w:val="0"/>
        <w:autoSpaceDE/>
        <w:autoSpaceDN/>
        <w:bidi w:val="0"/>
        <w:adjustRightInd/>
        <w:snapToGrid/>
        <w:spacing w:before="0" w:after="0" w:line="560" w:lineRule="exact"/>
        <w:ind w:firstLine="640" w:firstLineChars="200"/>
        <w:jc w:val="both"/>
        <w:textAlignment w:val="auto"/>
        <w:outlineLvl w:val="9"/>
        <w:rPr>
          <w:rFonts w:ascii="Times New Roman" w:hAnsi="Times New Roman" w:eastAsia="仿宋_GB2312"/>
          <w:b w:val="0"/>
          <w:bCs w:val="0"/>
        </w:rPr>
      </w:pPr>
      <w:r>
        <w:rPr>
          <w:rFonts w:hint="eastAsia" w:ascii="CESI仿宋-GB2312" w:hAnsi="CESI仿宋-GB2312" w:eastAsia="CESI仿宋-GB2312" w:cs="CESI仿宋-GB2312"/>
          <w:b w:val="0"/>
          <w:bCs w:val="0"/>
        </w:rPr>
        <w:t>2.评价指</w:t>
      </w:r>
      <w:r>
        <w:rPr>
          <w:rFonts w:ascii="Times New Roman" w:hAnsi="Times New Roman" w:eastAsia="仿宋_GB2312"/>
          <w:b w:val="0"/>
          <w:bCs w:val="0"/>
        </w:rPr>
        <w:t>标体系</w:t>
      </w:r>
    </w:p>
    <w:p w14:paraId="2E1B4CCF">
      <w:pPr>
        <w:pStyle w:val="2"/>
        <w:keepNext w:val="0"/>
        <w:keepLines w:val="0"/>
        <w:pageBreakBefore w:val="0"/>
        <w:kinsoku/>
        <w:wordWrap/>
        <w:overflowPunct/>
        <w:topLinePunct w:val="0"/>
        <w:autoSpaceDE/>
        <w:autoSpaceDN/>
        <w:bidi w:val="0"/>
        <w:adjustRightInd/>
        <w:snapToGrid/>
        <w:spacing w:before="0" w:after="0" w:line="560" w:lineRule="exact"/>
        <w:ind w:firstLine="640" w:firstLineChars="200"/>
        <w:jc w:val="both"/>
        <w:textAlignment w:val="auto"/>
        <w:outlineLvl w:val="9"/>
        <w:rPr>
          <w:rFonts w:ascii="Times New Roman" w:hAnsi="Times New Roman" w:eastAsia="仿宋_GB2312"/>
          <w:b w:val="0"/>
          <w:bCs w:val="0"/>
        </w:rPr>
      </w:pPr>
      <w:r>
        <w:rPr>
          <w:rFonts w:ascii="Times New Roman" w:hAnsi="Times New Roman" w:eastAsia="仿宋_GB2312"/>
          <w:b w:val="0"/>
          <w:bCs w:val="0"/>
        </w:rPr>
        <w:t>绩效评价框架是开展绩效评价的核心。绩效评价框架包括评价准则、关键评价问题、评价指标、数据来源、数据收集方法等。指标体系建立过程如下：</w:t>
      </w:r>
    </w:p>
    <w:p w14:paraId="20CB866A">
      <w:pPr>
        <w:pStyle w:val="2"/>
        <w:keepNext w:val="0"/>
        <w:keepLines w:val="0"/>
        <w:pageBreakBefore w:val="0"/>
        <w:kinsoku/>
        <w:wordWrap/>
        <w:overflowPunct/>
        <w:topLinePunct w:val="0"/>
        <w:autoSpaceDE/>
        <w:autoSpaceDN/>
        <w:bidi w:val="0"/>
        <w:adjustRightInd/>
        <w:snapToGrid/>
        <w:spacing w:before="0" w:after="0" w:line="560" w:lineRule="exact"/>
        <w:ind w:firstLine="640" w:firstLineChars="200"/>
        <w:jc w:val="both"/>
        <w:textAlignment w:val="auto"/>
        <w:outlineLvl w:val="9"/>
        <w:rPr>
          <w:rFonts w:ascii="Times New Roman" w:hAnsi="Times New Roman" w:eastAsia="仿宋_GB2312"/>
          <w:b w:val="0"/>
          <w:bCs w:val="0"/>
        </w:rPr>
      </w:pPr>
      <w:r>
        <w:rPr>
          <w:rFonts w:hint="eastAsia" w:ascii="CESI仿宋-GB2312" w:hAnsi="CESI仿宋-GB2312" w:eastAsia="CESI仿宋-GB2312" w:cs="CESI仿宋-GB2312"/>
          <w:b w:val="0"/>
          <w:bCs w:val="0"/>
        </w:rPr>
        <w:t>（1）确</w:t>
      </w:r>
      <w:r>
        <w:rPr>
          <w:rFonts w:ascii="Times New Roman" w:hAnsi="Times New Roman" w:eastAsia="仿宋_GB2312"/>
          <w:b w:val="0"/>
          <w:bCs w:val="0"/>
        </w:rPr>
        <w:t>定评价指标</w:t>
      </w:r>
    </w:p>
    <w:p w14:paraId="4CCFC001">
      <w:pPr>
        <w:pStyle w:val="2"/>
        <w:keepNext w:val="0"/>
        <w:keepLines w:val="0"/>
        <w:pageBreakBefore w:val="0"/>
        <w:kinsoku/>
        <w:wordWrap/>
        <w:overflowPunct/>
        <w:topLinePunct w:val="0"/>
        <w:autoSpaceDE/>
        <w:autoSpaceDN/>
        <w:bidi w:val="0"/>
        <w:adjustRightInd/>
        <w:snapToGrid/>
        <w:spacing w:before="0" w:after="0" w:line="560" w:lineRule="exact"/>
        <w:ind w:firstLine="640" w:firstLineChars="200"/>
        <w:jc w:val="both"/>
        <w:textAlignment w:val="auto"/>
        <w:outlineLvl w:val="9"/>
        <w:rPr>
          <w:rFonts w:ascii="Times New Roman" w:hAnsi="Times New Roman" w:eastAsia="仿宋_GB2312"/>
          <w:b w:val="0"/>
          <w:bCs w:val="0"/>
        </w:rPr>
      </w:pPr>
      <w:r>
        <w:rPr>
          <w:rFonts w:ascii="Times New Roman" w:hAnsi="Times New Roman" w:eastAsia="仿宋_GB2312"/>
          <w:b w:val="0"/>
          <w:bCs w:val="0"/>
        </w:rPr>
        <w:t>绩效评价将指标分为项目决策指标、项目过程指标、项目产出指标、项目效益指标四个维度，最终形成一个由多个相互联系的指标组成的多层次指标体系。</w:t>
      </w:r>
    </w:p>
    <w:p w14:paraId="7ADD23B4">
      <w:pPr>
        <w:pStyle w:val="2"/>
        <w:keepNext w:val="0"/>
        <w:keepLines w:val="0"/>
        <w:pageBreakBefore w:val="0"/>
        <w:kinsoku/>
        <w:wordWrap/>
        <w:overflowPunct/>
        <w:topLinePunct w:val="0"/>
        <w:autoSpaceDE/>
        <w:autoSpaceDN/>
        <w:bidi w:val="0"/>
        <w:adjustRightInd/>
        <w:snapToGrid/>
        <w:spacing w:before="0" w:after="0" w:line="560" w:lineRule="exact"/>
        <w:ind w:firstLine="640" w:firstLineChars="200"/>
        <w:jc w:val="both"/>
        <w:textAlignment w:val="auto"/>
        <w:outlineLvl w:val="9"/>
        <w:rPr>
          <w:rFonts w:ascii="Times New Roman" w:hAnsi="Times New Roman" w:eastAsia="仿宋_GB2312"/>
          <w:b w:val="0"/>
          <w:bCs w:val="0"/>
        </w:rPr>
      </w:pPr>
      <w:r>
        <w:rPr>
          <w:rFonts w:hint="eastAsia" w:ascii="CESI仿宋-GB2312" w:hAnsi="CESI仿宋-GB2312" w:eastAsia="CESI仿宋-GB2312" w:cs="CESI仿宋-GB2312"/>
          <w:b w:val="0"/>
          <w:bCs w:val="0"/>
        </w:rPr>
        <w:t>（2）</w:t>
      </w:r>
      <w:r>
        <w:rPr>
          <w:rFonts w:ascii="Times New Roman" w:hAnsi="Times New Roman" w:eastAsia="仿宋_GB2312"/>
          <w:b w:val="0"/>
          <w:bCs w:val="0"/>
        </w:rPr>
        <w:t>确定权重</w:t>
      </w:r>
    </w:p>
    <w:p w14:paraId="163D0BCA">
      <w:pPr>
        <w:pStyle w:val="2"/>
        <w:keepNext w:val="0"/>
        <w:keepLines w:val="0"/>
        <w:pageBreakBefore w:val="0"/>
        <w:kinsoku/>
        <w:wordWrap/>
        <w:overflowPunct/>
        <w:topLinePunct w:val="0"/>
        <w:autoSpaceDE/>
        <w:autoSpaceDN/>
        <w:bidi w:val="0"/>
        <w:adjustRightInd/>
        <w:snapToGrid/>
        <w:spacing w:before="0" w:after="0" w:line="560" w:lineRule="exact"/>
        <w:ind w:firstLine="640" w:firstLineChars="200"/>
        <w:jc w:val="both"/>
        <w:textAlignment w:val="auto"/>
        <w:outlineLvl w:val="9"/>
        <w:rPr>
          <w:rFonts w:ascii="Times New Roman" w:hAnsi="Times New Roman" w:eastAsia="仿宋_GB2312"/>
          <w:b w:val="0"/>
          <w:bCs w:val="0"/>
        </w:rPr>
      </w:pPr>
      <w:r>
        <w:rPr>
          <w:rFonts w:ascii="Times New Roman" w:hAnsi="Times New Roman" w:eastAsia="仿宋_GB2312"/>
          <w:b w:val="0"/>
          <w:bCs w:val="0"/>
        </w:rPr>
        <w:t>确定各个指标相对于</w:t>
      </w:r>
      <w:r>
        <w:rPr>
          <w:rFonts w:hint="eastAsia" w:ascii="CESI仿宋-GB2312" w:hAnsi="CESI仿宋-GB2312" w:eastAsia="CESI仿宋-GB2312" w:cs="CESI仿宋-GB2312"/>
          <w:b w:val="0"/>
          <w:bCs w:val="0"/>
        </w:rPr>
        <w:t>项目总体绩效的权重分值。在绩效评价指标体系中，项目决策权重为5分，项目过程权重为5分，项目产出权重为50分，项目效益权重为40分。</w:t>
      </w:r>
    </w:p>
    <w:p w14:paraId="31320F1C">
      <w:pPr>
        <w:pStyle w:val="2"/>
        <w:keepNext w:val="0"/>
        <w:keepLines w:val="0"/>
        <w:pageBreakBefore w:val="0"/>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CESI仿宋-GB2312" w:hAnsi="CESI仿宋-GB2312" w:eastAsia="CESI仿宋-GB2312" w:cs="CESI仿宋-GB2312"/>
          <w:b w:val="0"/>
          <w:bCs w:val="0"/>
        </w:rPr>
      </w:pPr>
      <w:r>
        <w:rPr>
          <w:rFonts w:hint="eastAsia" w:ascii="CESI仿宋-GB2312" w:hAnsi="CESI仿宋-GB2312" w:eastAsia="CESI仿宋-GB2312" w:cs="CESI仿宋-GB2312"/>
          <w:b w:val="0"/>
          <w:bCs w:val="0"/>
        </w:rPr>
        <w:t>（3）确定指标标准值</w:t>
      </w:r>
    </w:p>
    <w:p w14:paraId="5A901AEA">
      <w:pPr>
        <w:pStyle w:val="2"/>
        <w:keepNext w:val="0"/>
        <w:keepLines w:val="0"/>
        <w:pageBreakBefore w:val="0"/>
        <w:kinsoku/>
        <w:wordWrap/>
        <w:overflowPunct/>
        <w:topLinePunct w:val="0"/>
        <w:autoSpaceDE/>
        <w:autoSpaceDN/>
        <w:bidi w:val="0"/>
        <w:adjustRightInd/>
        <w:snapToGrid/>
        <w:spacing w:before="0" w:after="0" w:line="560" w:lineRule="exact"/>
        <w:ind w:firstLine="640" w:firstLineChars="200"/>
        <w:jc w:val="both"/>
        <w:textAlignment w:val="auto"/>
        <w:outlineLvl w:val="9"/>
        <w:rPr>
          <w:rFonts w:ascii="Times New Roman" w:hAnsi="Times New Roman" w:eastAsia="仿宋_GB2312"/>
          <w:b w:val="0"/>
          <w:bCs w:val="0"/>
        </w:rPr>
      </w:pPr>
      <w:r>
        <w:rPr>
          <w:rFonts w:hint="eastAsia" w:ascii="CESI仿宋-GB2312" w:hAnsi="CESI仿宋-GB2312" w:eastAsia="CESI仿宋-GB2312" w:cs="CESI仿宋-GB2312"/>
          <w:b w:val="0"/>
          <w:bCs w:val="0"/>
        </w:rPr>
        <w:t>指标标准值</w:t>
      </w:r>
      <w:r>
        <w:rPr>
          <w:rFonts w:ascii="Times New Roman" w:hAnsi="Times New Roman" w:eastAsia="仿宋_GB2312"/>
          <w:b w:val="0"/>
          <w:bCs w:val="0"/>
        </w:rPr>
        <w:t>是绩效评价指标的尺度，既要反映同类项目的先进水平，又要符合项目的实际绩效水平。具体采用计划标准等确定此次绩效评价指标标准值。</w:t>
      </w:r>
    </w:p>
    <w:p w14:paraId="71EE010E">
      <w:pPr>
        <w:pStyle w:val="2"/>
        <w:keepNext w:val="0"/>
        <w:keepLines w:val="0"/>
        <w:pageBreakBefore w:val="0"/>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CESI仿宋-GB2312" w:hAnsi="CESI仿宋-GB2312" w:eastAsia="CESI仿宋-GB2312" w:cs="CESI仿宋-GB2312"/>
          <w:b w:val="0"/>
          <w:bCs w:val="0"/>
        </w:rPr>
      </w:pPr>
      <w:r>
        <w:rPr>
          <w:rFonts w:hint="eastAsia" w:ascii="CESI仿宋-GB2312" w:hAnsi="CESI仿宋-GB2312" w:eastAsia="CESI仿宋-GB2312" w:cs="CESI仿宋-GB2312"/>
          <w:b w:val="0"/>
          <w:bCs w:val="0"/>
        </w:rPr>
        <w:t>绩效评价总分值100分，根据综合评分结果，评价计分90分-100分（含90分）对应的评分结果级别为优，80-90分（含80分）对应的评分结果级别为良，60-80分（含60分）对应的评分结果级别为中，60分以下对应的评分结果级别为差。</w:t>
      </w:r>
    </w:p>
    <w:p w14:paraId="21CD0CA1">
      <w:pPr>
        <w:pStyle w:val="2"/>
        <w:keepNext w:val="0"/>
        <w:keepLines w:val="0"/>
        <w:pageBreakBefore w:val="0"/>
        <w:kinsoku/>
        <w:wordWrap/>
        <w:overflowPunct/>
        <w:topLinePunct w:val="0"/>
        <w:autoSpaceDE/>
        <w:autoSpaceDN/>
        <w:bidi w:val="0"/>
        <w:adjustRightInd/>
        <w:snapToGrid/>
        <w:spacing w:before="0" w:after="0" w:line="560" w:lineRule="exact"/>
        <w:ind w:firstLine="640" w:firstLineChars="200"/>
        <w:jc w:val="both"/>
        <w:textAlignment w:val="auto"/>
        <w:outlineLvl w:val="9"/>
        <w:rPr>
          <w:rFonts w:ascii="Times New Roman" w:hAnsi="Times New Roman" w:eastAsia="仿宋_GB2312"/>
          <w:b w:val="0"/>
          <w:bCs w:val="0"/>
        </w:rPr>
      </w:pPr>
      <w:r>
        <w:rPr>
          <w:rFonts w:hint="eastAsia" w:ascii="CESI仿宋-GB2312" w:hAnsi="CESI仿宋-GB2312" w:eastAsia="CESI仿宋-GB2312" w:cs="CESI仿宋-GB2312"/>
          <w:b w:val="0"/>
          <w:bCs w:val="0"/>
        </w:rPr>
        <w:t>具体评价指标体系详情见附件1。</w:t>
      </w:r>
    </w:p>
    <w:p w14:paraId="0CEB7748">
      <w:pPr>
        <w:pStyle w:val="2"/>
        <w:keepNext w:val="0"/>
        <w:keepLines w:val="0"/>
        <w:pageBreakBefore w:val="0"/>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CESI仿宋-GB2312" w:hAnsi="CESI仿宋-GB2312" w:eastAsia="CESI仿宋-GB2312" w:cs="CESI仿宋-GB2312"/>
          <w:b w:val="0"/>
          <w:bCs w:val="0"/>
        </w:rPr>
      </w:pPr>
      <w:r>
        <w:rPr>
          <w:rFonts w:hint="eastAsia" w:ascii="CESI仿宋-GB2312" w:hAnsi="CESI仿宋-GB2312" w:eastAsia="CESI仿宋-GB2312" w:cs="CESI仿宋-GB2312"/>
          <w:b w:val="0"/>
          <w:bCs w:val="0"/>
        </w:rPr>
        <w:t>3.绩效评价方法</w:t>
      </w:r>
    </w:p>
    <w:p w14:paraId="2089FB51">
      <w:pPr>
        <w:pStyle w:val="2"/>
        <w:keepNext w:val="0"/>
        <w:keepLines w:val="0"/>
        <w:pageBreakBefore w:val="0"/>
        <w:kinsoku/>
        <w:wordWrap/>
        <w:overflowPunct/>
        <w:topLinePunct w:val="0"/>
        <w:autoSpaceDE/>
        <w:autoSpaceDN/>
        <w:bidi w:val="0"/>
        <w:adjustRightInd/>
        <w:snapToGrid/>
        <w:spacing w:before="0" w:after="0" w:line="560" w:lineRule="exact"/>
        <w:ind w:firstLine="640" w:firstLineChars="200"/>
        <w:jc w:val="both"/>
        <w:textAlignment w:val="auto"/>
        <w:outlineLvl w:val="9"/>
        <w:rPr>
          <w:rFonts w:ascii="Times New Roman" w:hAnsi="Times New Roman" w:eastAsia="仿宋_GB2312"/>
          <w:b w:val="0"/>
          <w:bCs w:val="0"/>
        </w:rPr>
      </w:pPr>
      <w:r>
        <w:rPr>
          <w:rFonts w:ascii="Times New Roman" w:hAnsi="Times New Roman" w:eastAsia="仿宋_GB2312"/>
          <w:b w:val="0"/>
          <w:bCs w:val="0"/>
        </w:rPr>
        <w:t>绩效评价从项目决策、项目过程、项目产出、项目效益四个维度进行评价。评价对象为项目目标实施情况，评价核心为资金的支出完成情况和项目的产出效益。</w:t>
      </w:r>
    </w:p>
    <w:p w14:paraId="2B6A23F3">
      <w:pPr>
        <w:pStyle w:val="2"/>
        <w:keepNext w:val="0"/>
        <w:keepLines w:val="0"/>
        <w:pageBreakBefore w:val="0"/>
        <w:kinsoku/>
        <w:wordWrap/>
        <w:overflowPunct/>
        <w:topLinePunct w:val="0"/>
        <w:autoSpaceDE/>
        <w:autoSpaceDN/>
        <w:bidi w:val="0"/>
        <w:adjustRightInd/>
        <w:snapToGrid/>
        <w:spacing w:before="0" w:after="0" w:line="560" w:lineRule="exact"/>
        <w:ind w:firstLine="640" w:firstLineChars="200"/>
        <w:jc w:val="both"/>
        <w:textAlignment w:val="auto"/>
        <w:outlineLvl w:val="9"/>
        <w:rPr>
          <w:rFonts w:ascii="Times New Roman" w:hAnsi="Times New Roman" w:eastAsia="仿宋_GB2312"/>
          <w:b w:val="0"/>
          <w:bCs w:val="0"/>
        </w:rPr>
      </w:pPr>
      <w:r>
        <w:rPr>
          <w:rFonts w:ascii="Times New Roman" w:hAnsi="Times New Roman" w:eastAsia="仿宋_GB2312"/>
          <w:b w:val="0"/>
          <w:bCs w:val="0"/>
        </w:rPr>
        <w:t>本次评价指标中，既有定性指标又有定量指标，各类指标因考核内容不同和客观标准不同存在较大差异，因此核定具体指标时采用了不同方法，具体评价方法如下：</w:t>
      </w:r>
    </w:p>
    <w:p w14:paraId="7D3E5A59">
      <w:pPr>
        <w:pStyle w:val="2"/>
        <w:keepNext w:val="0"/>
        <w:keepLines w:val="0"/>
        <w:pageBreakBefore w:val="0"/>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CESI仿宋-GB2312" w:hAnsi="CESI仿宋-GB2312" w:eastAsia="CESI仿宋-GB2312" w:cs="CESI仿宋-GB2312"/>
          <w:b w:val="0"/>
          <w:bCs w:val="0"/>
        </w:rPr>
      </w:pPr>
      <w:r>
        <w:rPr>
          <w:rFonts w:hint="eastAsia" w:ascii="CESI仿宋-GB2312" w:hAnsi="CESI仿宋-GB2312" w:eastAsia="CESI仿宋-GB2312" w:cs="CESI仿宋-GB2312"/>
          <w:b w:val="0"/>
          <w:bCs w:val="0"/>
        </w:rPr>
        <w:t>（1）比较法</w:t>
      </w:r>
    </w:p>
    <w:p w14:paraId="14980649">
      <w:pPr>
        <w:pStyle w:val="2"/>
        <w:keepNext w:val="0"/>
        <w:keepLines w:val="0"/>
        <w:pageBreakBefore w:val="0"/>
        <w:kinsoku/>
        <w:wordWrap/>
        <w:overflowPunct/>
        <w:topLinePunct w:val="0"/>
        <w:autoSpaceDE/>
        <w:autoSpaceDN/>
        <w:bidi w:val="0"/>
        <w:adjustRightInd/>
        <w:snapToGrid/>
        <w:spacing w:before="0" w:after="0" w:line="560" w:lineRule="exact"/>
        <w:ind w:firstLine="640" w:firstLineChars="200"/>
        <w:jc w:val="both"/>
        <w:textAlignment w:val="auto"/>
        <w:outlineLvl w:val="9"/>
        <w:rPr>
          <w:rFonts w:ascii="Times New Roman" w:hAnsi="Times New Roman" w:eastAsia="仿宋_GB2312"/>
          <w:b w:val="0"/>
          <w:bCs w:val="0"/>
        </w:rPr>
      </w:pPr>
      <w:r>
        <w:rPr>
          <w:rFonts w:ascii="Times New Roman" w:hAnsi="Times New Roman" w:eastAsia="仿宋_GB2312"/>
          <w:b w:val="0"/>
          <w:bCs w:val="0"/>
        </w:rPr>
        <w:t>通过对绩效目标与实施效果、历史与当期情况，综合分析绩效目标实现程度。对项目最终验收情况与年度绩效目标对比、预算资金执行情况等相关因素进行比较。</w:t>
      </w:r>
    </w:p>
    <w:p w14:paraId="139471DF">
      <w:pPr>
        <w:pStyle w:val="2"/>
        <w:keepNext w:val="0"/>
        <w:keepLines w:val="0"/>
        <w:pageBreakBefore w:val="0"/>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CESI仿宋-GB2312" w:hAnsi="CESI仿宋-GB2312" w:eastAsia="CESI仿宋-GB2312" w:cs="CESI仿宋-GB2312"/>
          <w:b w:val="0"/>
          <w:bCs w:val="0"/>
        </w:rPr>
      </w:pPr>
      <w:r>
        <w:rPr>
          <w:rFonts w:hint="eastAsia" w:ascii="CESI仿宋-GB2312" w:hAnsi="CESI仿宋-GB2312" w:eastAsia="CESI仿宋-GB2312" w:cs="CESI仿宋-GB2312"/>
          <w:b w:val="0"/>
          <w:bCs w:val="0"/>
        </w:rPr>
        <w:t>（2）因素分析法</w:t>
      </w:r>
    </w:p>
    <w:p w14:paraId="0F24B4EB">
      <w:pPr>
        <w:pStyle w:val="2"/>
        <w:keepNext w:val="0"/>
        <w:keepLines w:val="0"/>
        <w:pageBreakBefore w:val="0"/>
        <w:kinsoku/>
        <w:wordWrap/>
        <w:overflowPunct/>
        <w:topLinePunct w:val="0"/>
        <w:autoSpaceDE/>
        <w:autoSpaceDN/>
        <w:bidi w:val="0"/>
        <w:adjustRightInd/>
        <w:snapToGrid/>
        <w:spacing w:before="0" w:after="0" w:line="560" w:lineRule="exact"/>
        <w:ind w:firstLine="640" w:firstLineChars="200"/>
        <w:jc w:val="both"/>
        <w:textAlignment w:val="auto"/>
        <w:outlineLvl w:val="9"/>
        <w:rPr>
          <w:rFonts w:ascii="Times New Roman" w:hAnsi="Times New Roman" w:eastAsia="仿宋_GB2312"/>
          <w:b w:val="0"/>
          <w:bCs w:val="0"/>
        </w:rPr>
      </w:pPr>
      <w:r>
        <w:rPr>
          <w:rFonts w:hint="eastAsia" w:ascii="CESI仿宋-GB2312" w:hAnsi="CESI仿宋-GB2312" w:eastAsia="CESI仿宋-GB2312" w:cs="CESI仿宋-GB2312"/>
          <w:b w:val="0"/>
          <w:bCs w:val="0"/>
        </w:rPr>
        <w:t>通过综合分析影响</w:t>
      </w:r>
      <w:r>
        <w:rPr>
          <w:rFonts w:ascii="Times New Roman" w:hAnsi="Times New Roman" w:eastAsia="仿宋_GB2312"/>
          <w:b w:val="0"/>
          <w:bCs w:val="0"/>
        </w:rPr>
        <w:t>绩效目标实现、实施效果的内外因素，评价绩效目标实现程度。通过对项目的开展情况、项目产出数量、成本控制、资金拨付文件及自评报告等相关资料的收集和审核，综合分析各因素对绩效目标实现的影响。</w:t>
      </w:r>
    </w:p>
    <w:p w14:paraId="5B1C91A5">
      <w:pPr>
        <w:pStyle w:val="2"/>
        <w:keepNext w:val="0"/>
        <w:keepLines w:val="0"/>
        <w:pageBreakBefore w:val="0"/>
        <w:kinsoku/>
        <w:wordWrap/>
        <w:overflowPunct/>
        <w:topLinePunct w:val="0"/>
        <w:autoSpaceDE/>
        <w:autoSpaceDN/>
        <w:bidi w:val="0"/>
        <w:adjustRightInd/>
        <w:snapToGrid/>
        <w:spacing w:before="0" w:after="0" w:line="560" w:lineRule="exact"/>
        <w:ind w:firstLine="640" w:firstLineChars="200"/>
        <w:jc w:val="both"/>
        <w:textAlignment w:val="auto"/>
        <w:outlineLvl w:val="9"/>
        <w:rPr>
          <w:rFonts w:ascii="Times New Roman" w:hAnsi="Times New Roman" w:eastAsia="仿宋_GB2312"/>
          <w:b w:val="0"/>
          <w:bCs w:val="0"/>
        </w:rPr>
      </w:pPr>
      <w:r>
        <w:rPr>
          <w:rFonts w:hint="eastAsia" w:ascii="CESI仿宋-GB2312" w:hAnsi="CESI仿宋-GB2312" w:eastAsia="CESI仿宋-GB2312" w:cs="CESI仿宋-GB2312"/>
          <w:b w:val="0"/>
          <w:bCs w:val="0"/>
        </w:rPr>
        <w:t>4.评价</w:t>
      </w:r>
      <w:r>
        <w:rPr>
          <w:rFonts w:ascii="Times New Roman" w:hAnsi="Times New Roman" w:eastAsia="仿宋_GB2312"/>
          <w:b w:val="0"/>
          <w:bCs w:val="0"/>
        </w:rPr>
        <w:t>标准</w:t>
      </w:r>
    </w:p>
    <w:p w14:paraId="08551B7C">
      <w:pPr>
        <w:pStyle w:val="2"/>
        <w:keepNext w:val="0"/>
        <w:keepLines w:val="0"/>
        <w:pageBreakBefore w:val="0"/>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楷体" w:hAnsi="楷体" w:eastAsia="楷体" w:cs="楷体"/>
          <w:color w:val="000000"/>
          <w:spacing w:val="17"/>
        </w:rPr>
      </w:pPr>
      <w:r>
        <w:rPr>
          <w:rFonts w:ascii="Times New Roman" w:hAnsi="Times New Roman" w:eastAsia="仿宋_GB2312"/>
          <w:b w:val="0"/>
          <w:bCs w:val="0"/>
        </w:rPr>
        <w:t>绩效评价标准通常包括计划标准、行业标准、历史标准等，用于对绩效指标完成情况进行比较。本次评价主要采用了计划标准和行业标准。</w:t>
      </w:r>
    </w:p>
    <w:p w14:paraId="0E53DEE4">
      <w:pPr>
        <w:pStyle w:val="2"/>
        <w:keepNext w:val="0"/>
        <w:keepLines w:val="0"/>
        <w:pageBreakBefore w:val="0"/>
        <w:kinsoku/>
        <w:wordWrap/>
        <w:overflowPunct/>
        <w:topLinePunct w:val="0"/>
        <w:autoSpaceDE/>
        <w:autoSpaceDN/>
        <w:bidi w:val="0"/>
        <w:adjustRightInd/>
        <w:snapToGrid/>
        <w:spacing w:before="0" w:after="0" w:line="560" w:lineRule="exact"/>
        <w:ind w:left="711"/>
        <w:jc w:val="both"/>
        <w:textAlignment w:val="auto"/>
        <w:rPr>
          <w:rFonts w:ascii="楷体" w:hAnsi="楷体" w:eastAsia="楷体" w:cs="楷体"/>
          <w:color w:val="000000"/>
          <w:spacing w:val="17"/>
        </w:rPr>
      </w:pPr>
      <w:r>
        <w:rPr>
          <w:rFonts w:hint="eastAsia" w:ascii="楷体" w:hAnsi="楷体" w:eastAsia="楷体" w:cs="楷体"/>
          <w:color w:val="000000"/>
          <w:spacing w:val="17"/>
        </w:rPr>
        <w:t>（三）绩效评价工作过程</w:t>
      </w:r>
    </w:p>
    <w:p w14:paraId="39D6CD33">
      <w:pPr>
        <w:pStyle w:val="2"/>
        <w:keepNext w:val="0"/>
        <w:keepLines w:val="0"/>
        <w:pageBreakBefore w:val="0"/>
        <w:kinsoku/>
        <w:wordWrap/>
        <w:overflowPunct/>
        <w:topLinePunct w:val="0"/>
        <w:autoSpaceDE/>
        <w:autoSpaceDN/>
        <w:bidi w:val="0"/>
        <w:adjustRightInd/>
        <w:snapToGrid/>
        <w:spacing w:before="0" w:after="0" w:line="560" w:lineRule="exact"/>
        <w:ind w:firstLine="640" w:firstLineChars="200"/>
        <w:jc w:val="both"/>
        <w:textAlignment w:val="auto"/>
        <w:outlineLvl w:val="9"/>
        <w:rPr>
          <w:rFonts w:ascii="楷体" w:hAnsi="楷体" w:eastAsia="楷体" w:cs="楷体"/>
          <w:color w:val="000000"/>
          <w:spacing w:val="17"/>
        </w:rPr>
      </w:pPr>
      <w:r>
        <w:rPr>
          <w:rFonts w:hint="eastAsia" w:ascii="CESI仿宋-GB2312" w:hAnsi="CESI仿宋-GB2312" w:eastAsia="CESI仿宋-GB2312" w:cs="CESI仿宋-GB2312"/>
          <w:b w:val="0"/>
          <w:bCs w:val="0"/>
        </w:rPr>
        <w:t>1.</w:t>
      </w:r>
      <w:r>
        <w:rPr>
          <w:rFonts w:hint="eastAsia" w:ascii="Times New Roman" w:hAnsi="Times New Roman" w:eastAsia="仿宋_GB2312"/>
          <w:b w:val="0"/>
          <w:bCs w:val="0"/>
        </w:rPr>
        <w:t>前期准备。明确项目绩效目标，设计绩效评价指标体系并确定绩效评价方法。</w:t>
      </w:r>
    </w:p>
    <w:p w14:paraId="03237193">
      <w:pPr>
        <w:pStyle w:val="2"/>
        <w:keepNext w:val="0"/>
        <w:keepLines w:val="0"/>
        <w:pageBreakBefore w:val="0"/>
        <w:kinsoku/>
        <w:wordWrap/>
        <w:overflowPunct/>
        <w:topLinePunct w:val="0"/>
        <w:autoSpaceDE/>
        <w:autoSpaceDN/>
        <w:bidi w:val="0"/>
        <w:adjustRightInd/>
        <w:snapToGrid/>
        <w:spacing w:before="0" w:after="0" w:line="560" w:lineRule="exact"/>
        <w:ind w:firstLine="640" w:firstLineChars="200"/>
        <w:jc w:val="both"/>
        <w:textAlignment w:val="auto"/>
        <w:outlineLvl w:val="9"/>
        <w:rPr>
          <w:rFonts w:ascii="楷体" w:hAnsi="楷体" w:eastAsia="楷体" w:cs="楷体"/>
          <w:color w:val="000000"/>
          <w:spacing w:val="17"/>
        </w:rPr>
      </w:pPr>
      <w:r>
        <w:rPr>
          <w:rFonts w:hint="eastAsia" w:ascii="CESI仿宋-GB2312" w:hAnsi="CESI仿宋-GB2312" w:eastAsia="CESI仿宋-GB2312" w:cs="CESI仿宋-GB2312"/>
          <w:b w:val="0"/>
          <w:bCs w:val="0"/>
        </w:rPr>
        <w:t>2.</w:t>
      </w:r>
      <w:r>
        <w:rPr>
          <w:rFonts w:hint="eastAsia" w:ascii="Times New Roman" w:hAnsi="Times New Roman" w:eastAsia="仿宋_GB2312"/>
          <w:b w:val="0"/>
          <w:bCs w:val="0"/>
        </w:rPr>
        <w:t>组织实施。收集各项目实施单位绩效自评报告及自评表，汇总执行免费开放的“三馆一站”相关数据，对各单位实施情况、支付管理情况等进行梳理。</w:t>
      </w:r>
    </w:p>
    <w:p w14:paraId="736AFC7D">
      <w:pPr>
        <w:pStyle w:val="2"/>
        <w:keepNext w:val="0"/>
        <w:keepLines w:val="0"/>
        <w:pageBreakBefore w:val="0"/>
        <w:kinsoku/>
        <w:wordWrap/>
        <w:overflowPunct/>
        <w:topLinePunct w:val="0"/>
        <w:autoSpaceDE/>
        <w:autoSpaceDN/>
        <w:bidi w:val="0"/>
        <w:adjustRightInd/>
        <w:snapToGrid/>
        <w:spacing w:before="0" w:after="0" w:line="560" w:lineRule="exact"/>
        <w:ind w:firstLine="640" w:firstLineChars="200"/>
        <w:jc w:val="both"/>
        <w:textAlignment w:val="auto"/>
        <w:outlineLvl w:val="9"/>
        <w:rPr>
          <w:rFonts w:ascii="楷体" w:hAnsi="楷体" w:eastAsia="楷体" w:cs="楷体"/>
          <w:color w:val="000000"/>
          <w:spacing w:val="17"/>
        </w:rPr>
      </w:pPr>
      <w:r>
        <w:rPr>
          <w:rFonts w:hint="eastAsia" w:ascii="CESI仿宋-GB2312" w:hAnsi="CESI仿宋-GB2312" w:eastAsia="CESI仿宋-GB2312" w:cs="CESI仿宋-GB2312"/>
          <w:b w:val="0"/>
          <w:bCs w:val="0"/>
        </w:rPr>
        <w:t>3.</w:t>
      </w:r>
      <w:r>
        <w:rPr>
          <w:rFonts w:hint="eastAsia" w:ascii="Times New Roman" w:hAnsi="Times New Roman" w:eastAsia="仿宋_GB2312"/>
          <w:b w:val="0"/>
          <w:bCs w:val="0"/>
        </w:rPr>
        <w:t>分析评价。根据收集梳理的资料围绕项目立项、资金落实、业务管理、项目产出、项目效益等内容，对照已确定的绩效评价指标进行详细全面的分析评价，逐项打分并形成绩效评价最终结果。</w:t>
      </w:r>
    </w:p>
    <w:p w14:paraId="2A1901B9">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eastAsia="黑体"/>
          <w:sz w:val="32"/>
          <w:szCs w:val="32"/>
        </w:rPr>
      </w:pPr>
      <w:r>
        <w:rPr>
          <w:rFonts w:eastAsia="黑体"/>
          <w:sz w:val="32"/>
          <w:szCs w:val="32"/>
        </w:rPr>
        <w:t>综合评价情况及评价结论（附相关评分表）</w:t>
      </w:r>
    </w:p>
    <w:p w14:paraId="537C5FF0">
      <w:pPr>
        <w:pStyle w:val="2"/>
        <w:keepNext w:val="0"/>
        <w:keepLines w:val="0"/>
        <w:pageBreakBefore w:val="0"/>
        <w:widowControl/>
        <w:kinsoku/>
        <w:wordWrap/>
        <w:overflowPunct/>
        <w:topLinePunct w:val="0"/>
        <w:autoSpaceDE/>
        <w:autoSpaceDN/>
        <w:bidi w:val="0"/>
        <w:adjustRightInd/>
        <w:snapToGrid/>
        <w:spacing w:before="0" w:after="0" w:line="560" w:lineRule="exact"/>
        <w:ind w:firstLine="643" w:firstLineChars="200"/>
        <w:jc w:val="both"/>
        <w:textAlignment w:val="auto"/>
        <w:rPr>
          <w:rFonts w:hint="eastAsia" w:ascii="Times New Roman" w:hAnsi="Times New Roman" w:eastAsia="楷体_GB2312"/>
          <w:lang w:val="en-US" w:eastAsia="zh-CN"/>
        </w:rPr>
      </w:pPr>
      <w:r>
        <w:rPr>
          <w:rFonts w:hint="eastAsia" w:ascii="Times New Roman" w:hAnsi="Times New Roman" w:eastAsia="楷体_GB2312"/>
          <w:lang w:eastAsia="zh-CN"/>
        </w:rPr>
        <w:t>（</w:t>
      </w:r>
      <w:r>
        <w:rPr>
          <w:rFonts w:hint="eastAsia" w:ascii="Times New Roman" w:hAnsi="Times New Roman" w:eastAsia="楷体_GB2312"/>
          <w:lang w:val="en-US" w:eastAsia="zh-CN"/>
        </w:rPr>
        <w:t>一</w:t>
      </w:r>
      <w:r>
        <w:rPr>
          <w:rFonts w:hint="eastAsia" w:ascii="Times New Roman" w:hAnsi="Times New Roman" w:eastAsia="楷体_GB2312"/>
          <w:lang w:eastAsia="zh-CN"/>
        </w:rPr>
        <w:t>）</w:t>
      </w:r>
      <w:r>
        <w:rPr>
          <w:rFonts w:hint="eastAsia" w:ascii="Times New Roman" w:hAnsi="Times New Roman" w:eastAsia="楷体_GB2312"/>
          <w:lang w:val="en-US" w:eastAsia="zh-CN"/>
        </w:rPr>
        <w:t>评价情况</w:t>
      </w:r>
    </w:p>
    <w:p w14:paraId="4D974C31">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b w:val="0"/>
          <w:bCs w:val="0"/>
          <w:kern w:val="28"/>
          <w:sz w:val="32"/>
          <w:szCs w:val="32"/>
          <w:lang w:val="en-US" w:eastAsia="zh-CN" w:bidi="ar-SA"/>
        </w:rPr>
      </w:pPr>
      <w:r>
        <w:rPr>
          <w:rFonts w:hint="eastAsia" w:ascii="Times New Roman" w:hAnsi="Times New Roman" w:eastAsia="仿宋_GB2312" w:cs="Times New Roman"/>
          <w:b w:val="0"/>
          <w:bCs w:val="0"/>
          <w:kern w:val="28"/>
          <w:sz w:val="32"/>
          <w:szCs w:val="32"/>
          <w:lang w:val="en-US" w:eastAsia="zh-CN" w:bidi="ar-SA"/>
        </w:rPr>
        <w:t>项目总体组织规范，在项目实施过程做到认真履职，监督到位。按照相关制度的要求，项目负责人对项目绩效监控执行情况进行跟踪监督，有效完成了本项目的工作目标，确保资金使用安全和最大效益的发挥，保障项目如期按要求完成。规范了项目档案资料的整理。项目的实施达到项目预期效果。</w:t>
      </w:r>
    </w:p>
    <w:p w14:paraId="1D3B0076">
      <w:pPr>
        <w:pStyle w:val="2"/>
        <w:keepNext w:val="0"/>
        <w:keepLines w:val="0"/>
        <w:pageBreakBefore w:val="0"/>
        <w:widowControl/>
        <w:kinsoku/>
        <w:wordWrap/>
        <w:overflowPunct/>
        <w:topLinePunct w:val="0"/>
        <w:autoSpaceDE/>
        <w:autoSpaceDN/>
        <w:bidi w:val="0"/>
        <w:adjustRightInd/>
        <w:snapToGrid/>
        <w:spacing w:before="0" w:after="0" w:line="560" w:lineRule="exact"/>
        <w:ind w:firstLine="643" w:firstLineChars="200"/>
        <w:jc w:val="both"/>
        <w:textAlignment w:val="auto"/>
        <w:rPr>
          <w:rFonts w:hint="eastAsia" w:ascii="Times New Roman" w:hAnsi="Times New Roman" w:eastAsia="楷体_GB2312" w:cs="Times New Roman"/>
          <w:lang w:val="en-US" w:eastAsia="zh-CN"/>
        </w:rPr>
      </w:pPr>
      <w:r>
        <w:rPr>
          <w:rFonts w:hint="eastAsia" w:ascii="Times New Roman" w:hAnsi="Times New Roman" w:eastAsia="楷体_GB2312" w:cs="Times New Roman"/>
          <w:lang w:eastAsia="zh-CN"/>
        </w:rPr>
        <w:t>（</w:t>
      </w:r>
      <w:r>
        <w:rPr>
          <w:rFonts w:hint="eastAsia" w:ascii="Times New Roman" w:hAnsi="Times New Roman" w:eastAsia="楷体_GB2312" w:cs="Times New Roman"/>
          <w:lang w:val="en-US" w:eastAsia="zh-CN"/>
        </w:rPr>
        <w:t>二</w:t>
      </w:r>
      <w:r>
        <w:rPr>
          <w:rFonts w:hint="eastAsia" w:ascii="Times New Roman" w:hAnsi="Times New Roman" w:eastAsia="楷体_GB2312" w:cs="Times New Roman"/>
          <w:lang w:eastAsia="zh-CN"/>
        </w:rPr>
        <w:t>）</w:t>
      </w:r>
      <w:r>
        <w:rPr>
          <w:rFonts w:hint="eastAsia" w:ascii="Times New Roman" w:hAnsi="Times New Roman" w:eastAsia="楷体_GB2312" w:cs="Times New Roman"/>
          <w:lang w:val="en-US" w:eastAsia="zh-CN"/>
        </w:rPr>
        <w:t>评价结论</w:t>
      </w:r>
    </w:p>
    <w:p w14:paraId="64E8B4E9">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仿宋_GB2312" w:hAnsi="Times New Roman" w:eastAsia="仿宋_GB2312"/>
          <w:b w:val="0"/>
          <w:bCs w:val="0"/>
        </w:rPr>
      </w:pPr>
      <w:r>
        <w:rPr>
          <w:rFonts w:hint="eastAsia" w:ascii="Times New Roman" w:hAnsi="Times New Roman" w:eastAsia="仿宋_GB2312"/>
          <w:b w:val="0"/>
          <w:bCs w:val="0"/>
        </w:rPr>
        <w:t>运用绩效评价组制定的评价指标体系以及财政部《项目支出绩效评价管理办法》（财预〔2020〕10号）文件的评分标准，通过数据采集、问卷调查及访谈等方式，对本项目进行客观评价，最终评分结果：</w:t>
      </w:r>
      <w:r>
        <w:rPr>
          <w:rFonts w:hint="eastAsia" w:ascii="仿宋_GB2312" w:hAnsi="Times New Roman" w:eastAsia="仿宋_GB2312"/>
          <w:b w:val="0"/>
          <w:bCs w:val="0"/>
        </w:rPr>
        <w:t>总得分为 95.8分，属于“优”。其中，项目决策类指标权重为20分，得分为 20分，得分率为 100%。项目过程类指标权重为20分，得分为1</w:t>
      </w:r>
      <w:r>
        <w:rPr>
          <w:rFonts w:hint="eastAsia" w:ascii="仿宋_GB2312" w:hAnsi="Times New Roman" w:eastAsia="仿宋_GB2312"/>
          <w:b w:val="0"/>
          <w:bCs w:val="0"/>
          <w:lang w:val="en-US" w:eastAsia="zh-CN"/>
        </w:rPr>
        <w:t>9.12</w:t>
      </w:r>
      <w:r>
        <w:rPr>
          <w:rFonts w:hint="eastAsia" w:ascii="仿宋_GB2312" w:hAnsi="Times New Roman" w:eastAsia="仿宋_GB2312"/>
          <w:b w:val="0"/>
          <w:bCs w:val="0"/>
        </w:rPr>
        <w:t>分，得分率为</w:t>
      </w:r>
      <w:r>
        <w:rPr>
          <w:rFonts w:hint="eastAsia" w:ascii="仿宋_GB2312" w:hAnsi="Times New Roman" w:eastAsia="仿宋_GB2312"/>
          <w:b w:val="0"/>
          <w:bCs w:val="0"/>
          <w:lang w:val="en-US" w:eastAsia="zh-CN"/>
        </w:rPr>
        <w:t>95.6</w:t>
      </w:r>
      <w:r>
        <w:rPr>
          <w:rFonts w:hint="eastAsia" w:ascii="仿宋_GB2312" w:hAnsi="Times New Roman" w:eastAsia="仿宋_GB2312"/>
          <w:b w:val="0"/>
          <w:bCs w:val="0"/>
        </w:rPr>
        <w:t>%。项目产出类指标权重为40分，得分为38分，得分率为 95%。项目效益类指标权重为20分，得分为20分，得分率为100%。</w:t>
      </w:r>
    </w:p>
    <w:p w14:paraId="07D3B78C">
      <w:pPr>
        <w:pStyle w:val="2"/>
        <w:spacing w:line="520" w:lineRule="exact"/>
      </w:pPr>
      <w:r>
        <w:rPr>
          <w:rFonts w:hint="eastAsia" w:ascii="CESI仿宋-GB2312" w:hAnsi="CESI仿宋-GB2312" w:eastAsia="CESI仿宋-GB2312" w:cs="CESI仿宋-GB2312"/>
          <w:sz w:val="30"/>
          <w:szCs w:val="30"/>
        </w:rPr>
        <w:t>表1综合评分表</w:t>
      </w:r>
    </w:p>
    <w:tbl>
      <w:tblPr>
        <w:tblStyle w:val="21"/>
        <w:tblpPr w:leftFromText="180" w:rightFromText="180" w:vertAnchor="text" w:horzAnchor="page" w:tblpXSpec="center" w:tblpY="56"/>
        <w:tblOverlap w:val="never"/>
        <w:tblW w:w="995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100"/>
        <w:gridCol w:w="915"/>
        <w:gridCol w:w="1110"/>
        <w:gridCol w:w="1635"/>
        <w:gridCol w:w="825"/>
        <w:gridCol w:w="1125"/>
        <w:gridCol w:w="1069"/>
        <w:gridCol w:w="1215"/>
        <w:gridCol w:w="960"/>
      </w:tblGrid>
      <w:tr w14:paraId="0B84DA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blHeader/>
          <w:jc w:val="center"/>
        </w:trPr>
        <w:tc>
          <w:tcPr>
            <w:tcW w:w="1100" w:type="dxa"/>
            <w:shd w:val="clear" w:color="auto" w:fill="BFBFBF"/>
            <w:vAlign w:val="center"/>
          </w:tcPr>
          <w:p w14:paraId="36EC3695">
            <w:pPr>
              <w:widowControl/>
              <w:spacing w:line="0" w:lineRule="atLeast"/>
              <w:rPr>
                <w:rFonts w:hint="eastAsia" w:asciiTheme="minorEastAsia" w:hAnsiTheme="minorEastAsia" w:eastAsiaTheme="minorEastAsia" w:cstheme="minorEastAsia"/>
                <w:b/>
                <w:bCs/>
                <w:color w:val="000000"/>
                <w:kern w:val="0"/>
                <w:sz w:val="20"/>
                <w:szCs w:val="20"/>
              </w:rPr>
            </w:pPr>
            <w:r>
              <w:rPr>
                <w:rFonts w:hint="eastAsia" w:asciiTheme="minorEastAsia" w:hAnsiTheme="minorEastAsia" w:eastAsiaTheme="minorEastAsia" w:cstheme="minorEastAsia"/>
                <w:b/>
                <w:bCs/>
                <w:color w:val="000000"/>
                <w:kern w:val="0"/>
                <w:sz w:val="20"/>
                <w:szCs w:val="20"/>
              </w:rPr>
              <w:t>一级指标</w:t>
            </w:r>
          </w:p>
        </w:tc>
        <w:tc>
          <w:tcPr>
            <w:tcW w:w="915" w:type="dxa"/>
            <w:shd w:val="clear" w:color="auto" w:fill="BFBFBF"/>
            <w:vAlign w:val="center"/>
          </w:tcPr>
          <w:p w14:paraId="3D2FDF81">
            <w:pPr>
              <w:widowControl/>
              <w:spacing w:line="0" w:lineRule="atLeast"/>
              <w:jc w:val="center"/>
              <w:rPr>
                <w:rFonts w:hint="eastAsia" w:asciiTheme="minorEastAsia" w:hAnsiTheme="minorEastAsia" w:eastAsiaTheme="minorEastAsia" w:cstheme="minorEastAsia"/>
                <w:b/>
                <w:bCs/>
                <w:color w:val="000000"/>
                <w:kern w:val="0"/>
                <w:sz w:val="20"/>
                <w:szCs w:val="20"/>
              </w:rPr>
            </w:pPr>
            <w:r>
              <w:rPr>
                <w:rFonts w:hint="eastAsia" w:asciiTheme="minorEastAsia" w:hAnsiTheme="minorEastAsia" w:eastAsiaTheme="minorEastAsia" w:cstheme="minorEastAsia"/>
                <w:b/>
                <w:bCs/>
                <w:color w:val="000000"/>
                <w:kern w:val="0"/>
                <w:sz w:val="20"/>
                <w:szCs w:val="20"/>
              </w:rPr>
              <w:t>分值</w:t>
            </w:r>
          </w:p>
        </w:tc>
        <w:tc>
          <w:tcPr>
            <w:tcW w:w="1110" w:type="dxa"/>
            <w:shd w:val="clear" w:color="auto" w:fill="BFBFBF"/>
            <w:vAlign w:val="center"/>
          </w:tcPr>
          <w:p w14:paraId="634F56EB">
            <w:pPr>
              <w:widowControl/>
              <w:spacing w:line="0" w:lineRule="atLeast"/>
              <w:jc w:val="center"/>
              <w:rPr>
                <w:rFonts w:hint="eastAsia" w:asciiTheme="minorEastAsia" w:hAnsiTheme="minorEastAsia" w:eastAsiaTheme="minorEastAsia" w:cstheme="minorEastAsia"/>
                <w:b/>
                <w:bCs/>
                <w:color w:val="000000"/>
                <w:kern w:val="0"/>
                <w:sz w:val="20"/>
                <w:szCs w:val="20"/>
              </w:rPr>
            </w:pPr>
            <w:r>
              <w:rPr>
                <w:rFonts w:hint="eastAsia" w:asciiTheme="minorEastAsia" w:hAnsiTheme="minorEastAsia" w:eastAsiaTheme="minorEastAsia" w:cstheme="minorEastAsia"/>
                <w:b/>
                <w:bCs/>
                <w:color w:val="000000"/>
                <w:kern w:val="0"/>
                <w:sz w:val="20"/>
                <w:szCs w:val="20"/>
              </w:rPr>
              <w:t>二级指标</w:t>
            </w:r>
          </w:p>
        </w:tc>
        <w:tc>
          <w:tcPr>
            <w:tcW w:w="1635" w:type="dxa"/>
            <w:shd w:val="clear" w:color="auto" w:fill="BFBFBF"/>
            <w:vAlign w:val="center"/>
          </w:tcPr>
          <w:p w14:paraId="164946EF">
            <w:pPr>
              <w:widowControl/>
              <w:spacing w:line="0" w:lineRule="atLeast"/>
              <w:jc w:val="center"/>
              <w:rPr>
                <w:rFonts w:hint="eastAsia" w:asciiTheme="minorEastAsia" w:hAnsiTheme="minorEastAsia" w:eastAsiaTheme="minorEastAsia" w:cstheme="minorEastAsia"/>
                <w:b/>
                <w:bCs/>
                <w:color w:val="000000"/>
                <w:kern w:val="0"/>
                <w:sz w:val="20"/>
                <w:szCs w:val="20"/>
              </w:rPr>
            </w:pPr>
            <w:r>
              <w:rPr>
                <w:rFonts w:hint="eastAsia" w:asciiTheme="minorEastAsia" w:hAnsiTheme="minorEastAsia" w:eastAsiaTheme="minorEastAsia" w:cstheme="minorEastAsia"/>
                <w:b/>
                <w:bCs/>
                <w:color w:val="000000"/>
                <w:kern w:val="0"/>
                <w:sz w:val="20"/>
                <w:szCs w:val="20"/>
              </w:rPr>
              <w:t>三级指标</w:t>
            </w:r>
          </w:p>
        </w:tc>
        <w:tc>
          <w:tcPr>
            <w:tcW w:w="825" w:type="dxa"/>
            <w:shd w:val="clear" w:color="auto" w:fill="BFBFBF"/>
            <w:vAlign w:val="center"/>
          </w:tcPr>
          <w:p w14:paraId="1448AB23">
            <w:pPr>
              <w:widowControl/>
              <w:spacing w:line="0" w:lineRule="atLeast"/>
              <w:jc w:val="center"/>
              <w:rPr>
                <w:rFonts w:hint="eastAsia" w:asciiTheme="minorEastAsia" w:hAnsiTheme="minorEastAsia" w:eastAsiaTheme="minorEastAsia" w:cstheme="minorEastAsia"/>
                <w:b/>
                <w:bCs/>
                <w:color w:val="000000"/>
                <w:kern w:val="0"/>
                <w:sz w:val="20"/>
                <w:szCs w:val="20"/>
              </w:rPr>
            </w:pPr>
            <w:r>
              <w:rPr>
                <w:rFonts w:hint="eastAsia" w:asciiTheme="minorEastAsia" w:hAnsiTheme="minorEastAsia" w:eastAsiaTheme="minorEastAsia" w:cstheme="minorEastAsia"/>
                <w:b/>
                <w:bCs/>
                <w:color w:val="000000"/>
                <w:kern w:val="0"/>
                <w:sz w:val="20"/>
                <w:szCs w:val="20"/>
              </w:rPr>
              <w:t>权重</w:t>
            </w:r>
          </w:p>
        </w:tc>
        <w:tc>
          <w:tcPr>
            <w:tcW w:w="1125" w:type="dxa"/>
            <w:shd w:val="clear" w:color="auto" w:fill="BFBFBF"/>
            <w:vAlign w:val="center"/>
          </w:tcPr>
          <w:p w14:paraId="6DD25A25">
            <w:pPr>
              <w:widowControl/>
              <w:tabs>
                <w:tab w:val="left" w:pos="1333"/>
                <w:tab w:val="center" w:pos="3623"/>
              </w:tabs>
              <w:spacing w:line="0" w:lineRule="atLeast"/>
              <w:jc w:val="center"/>
              <w:rPr>
                <w:rFonts w:hint="eastAsia" w:asciiTheme="minorEastAsia" w:hAnsiTheme="minorEastAsia" w:eastAsiaTheme="minorEastAsia" w:cstheme="minorEastAsia"/>
                <w:b/>
                <w:bCs/>
                <w:color w:val="000000"/>
                <w:kern w:val="0"/>
                <w:sz w:val="20"/>
                <w:szCs w:val="20"/>
              </w:rPr>
            </w:pPr>
            <w:r>
              <w:rPr>
                <w:rFonts w:hint="eastAsia" w:asciiTheme="minorEastAsia" w:hAnsiTheme="minorEastAsia" w:eastAsiaTheme="minorEastAsia" w:cstheme="minorEastAsia"/>
                <w:b/>
                <w:bCs/>
                <w:color w:val="000000"/>
                <w:kern w:val="0"/>
                <w:sz w:val="20"/>
                <w:szCs w:val="20"/>
              </w:rPr>
              <w:t>目标值</w:t>
            </w:r>
          </w:p>
        </w:tc>
        <w:tc>
          <w:tcPr>
            <w:tcW w:w="1069" w:type="dxa"/>
            <w:shd w:val="clear" w:color="auto" w:fill="BFBFBF"/>
            <w:vAlign w:val="center"/>
          </w:tcPr>
          <w:p w14:paraId="3107E157">
            <w:pPr>
              <w:widowControl/>
              <w:tabs>
                <w:tab w:val="left" w:pos="1333"/>
                <w:tab w:val="center" w:pos="3623"/>
              </w:tabs>
              <w:spacing w:line="0" w:lineRule="atLeast"/>
              <w:jc w:val="center"/>
              <w:rPr>
                <w:rFonts w:hint="eastAsia" w:asciiTheme="minorEastAsia" w:hAnsiTheme="minorEastAsia" w:eastAsiaTheme="minorEastAsia" w:cstheme="minorEastAsia"/>
                <w:b/>
                <w:bCs/>
                <w:color w:val="000000"/>
                <w:kern w:val="0"/>
                <w:sz w:val="20"/>
                <w:szCs w:val="20"/>
              </w:rPr>
            </w:pPr>
            <w:r>
              <w:rPr>
                <w:rFonts w:hint="eastAsia" w:asciiTheme="minorEastAsia" w:hAnsiTheme="minorEastAsia" w:eastAsiaTheme="minorEastAsia" w:cstheme="minorEastAsia"/>
                <w:b/>
                <w:bCs/>
                <w:color w:val="000000"/>
                <w:kern w:val="0"/>
                <w:sz w:val="20"/>
                <w:szCs w:val="20"/>
              </w:rPr>
              <w:t>业绩值</w:t>
            </w:r>
          </w:p>
        </w:tc>
        <w:tc>
          <w:tcPr>
            <w:tcW w:w="1215" w:type="dxa"/>
            <w:shd w:val="clear" w:color="auto" w:fill="BFBFBF"/>
            <w:vAlign w:val="center"/>
          </w:tcPr>
          <w:p w14:paraId="7D1C9B5C">
            <w:pPr>
              <w:widowControl/>
              <w:tabs>
                <w:tab w:val="left" w:pos="1333"/>
                <w:tab w:val="center" w:pos="3623"/>
              </w:tabs>
              <w:spacing w:line="0" w:lineRule="atLeast"/>
              <w:jc w:val="center"/>
              <w:rPr>
                <w:rFonts w:hint="eastAsia" w:asciiTheme="minorEastAsia" w:hAnsiTheme="minorEastAsia" w:eastAsiaTheme="minorEastAsia" w:cstheme="minorEastAsia"/>
                <w:b/>
                <w:bCs/>
                <w:color w:val="000000"/>
                <w:kern w:val="0"/>
                <w:sz w:val="20"/>
                <w:szCs w:val="20"/>
              </w:rPr>
            </w:pPr>
            <w:r>
              <w:rPr>
                <w:rFonts w:hint="eastAsia" w:asciiTheme="minorEastAsia" w:hAnsiTheme="minorEastAsia" w:eastAsiaTheme="minorEastAsia" w:cstheme="minorEastAsia"/>
                <w:b/>
                <w:bCs/>
                <w:color w:val="000000"/>
                <w:kern w:val="0"/>
                <w:sz w:val="20"/>
                <w:szCs w:val="20"/>
              </w:rPr>
              <w:t>得分率</w:t>
            </w:r>
          </w:p>
        </w:tc>
        <w:tc>
          <w:tcPr>
            <w:tcW w:w="960" w:type="dxa"/>
            <w:shd w:val="clear" w:color="auto" w:fill="BFBFBF"/>
            <w:vAlign w:val="center"/>
          </w:tcPr>
          <w:p w14:paraId="2E2538CA">
            <w:pPr>
              <w:widowControl/>
              <w:tabs>
                <w:tab w:val="left" w:pos="1333"/>
                <w:tab w:val="center" w:pos="3623"/>
              </w:tabs>
              <w:spacing w:line="0" w:lineRule="atLeast"/>
              <w:jc w:val="center"/>
              <w:rPr>
                <w:rFonts w:hint="eastAsia" w:asciiTheme="minorEastAsia" w:hAnsiTheme="minorEastAsia" w:eastAsiaTheme="minorEastAsia" w:cstheme="minorEastAsia"/>
                <w:b/>
                <w:bCs/>
                <w:color w:val="000000"/>
                <w:kern w:val="0"/>
                <w:sz w:val="20"/>
                <w:szCs w:val="20"/>
              </w:rPr>
            </w:pPr>
            <w:r>
              <w:rPr>
                <w:rFonts w:hint="eastAsia" w:asciiTheme="minorEastAsia" w:hAnsiTheme="minorEastAsia" w:eastAsiaTheme="minorEastAsia" w:cstheme="minorEastAsia"/>
                <w:b/>
                <w:bCs/>
                <w:color w:val="000000"/>
                <w:kern w:val="0"/>
                <w:sz w:val="20"/>
                <w:szCs w:val="20"/>
              </w:rPr>
              <w:t>得分</w:t>
            </w:r>
          </w:p>
        </w:tc>
      </w:tr>
      <w:tr w14:paraId="76D7F3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1100" w:type="dxa"/>
            <w:vMerge w:val="restart"/>
            <w:shd w:val="clear" w:color="auto" w:fill="FFFFFF"/>
            <w:vAlign w:val="center"/>
          </w:tcPr>
          <w:p w14:paraId="510CACC2">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决策　</w:t>
            </w:r>
          </w:p>
          <w:p w14:paraId="1DA4D154">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p w14:paraId="3BDE7248">
            <w:pPr>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p w14:paraId="6B247E4E">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915" w:type="dxa"/>
            <w:vMerge w:val="restart"/>
            <w:shd w:val="clear" w:color="auto" w:fill="FFFFFF"/>
            <w:vAlign w:val="center"/>
          </w:tcPr>
          <w:p w14:paraId="30BF588C">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20"/>
                <w:szCs w:val="20"/>
              </w:rPr>
              <w:t>20分</w:t>
            </w:r>
          </w:p>
        </w:tc>
        <w:tc>
          <w:tcPr>
            <w:tcW w:w="1110" w:type="dxa"/>
            <w:vMerge w:val="restart"/>
            <w:shd w:val="clear" w:color="auto" w:fill="FFFFFF"/>
            <w:vAlign w:val="center"/>
          </w:tcPr>
          <w:p w14:paraId="07F34C07">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项目立项　</w:t>
            </w:r>
          </w:p>
        </w:tc>
        <w:tc>
          <w:tcPr>
            <w:tcW w:w="1635" w:type="dxa"/>
            <w:shd w:val="clear" w:color="auto" w:fill="FFFFFF"/>
            <w:vAlign w:val="center"/>
          </w:tcPr>
          <w:p w14:paraId="58C07570">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立项依据</w:t>
            </w:r>
          </w:p>
          <w:p w14:paraId="341877C0">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充分性</w:t>
            </w:r>
          </w:p>
        </w:tc>
        <w:tc>
          <w:tcPr>
            <w:tcW w:w="825" w:type="dxa"/>
            <w:shd w:val="clear" w:color="auto" w:fill="FFFFFF"/>
            <w:vAlign w:val="center"/>
          </w:tcPr>
          <w:p w14:paraId="6A4FB811">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w:t>
            </w:r>
          </w:p>
        </w:tc>
        <w:tc>
          <w:tcPr>
            <w:tcW w:w="1125" w:type="dxa"/>
            <w:shd w:val="clear" w:color="auto" w:fill="FFFFFF"/>
            <w:vAlign w:val="center"/>
          </w:tcPr>
          <w:p w14:paraId="4A865FCB">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充分</w:t>
            </w:r>
          </w:p>
        </w:tc>
        <w:tc>
          <w:tcPr>
            <w:tcW w:w="1069" w:type="dxa"/>
            <w:shd w:val="clear" w:color="auto" w:fill="FFFFFF"/>
            <w:vAlign w:val="center"/>
          </w:tcPr>
          <w:p w14:paraId="161756DA">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充分</w:t>
            </w:r>
          </w:p>
        </w:tc>
        <w:tc>
          <w:tcPr>
            <w:tcW w:w="1215" w:type="dxa"/>
            <w:shd w:val="clear" w:color="auto" w:fill="FFFFFF"/>
            <w:vAlign w:val="center"/>
          </w:tcPr>
          <w:p w14:paraId="3C9C80CB">
            <w:pPr>
              <w:widowControl/>
              <w:spacing w:line="0" w:lineRule="atLeast"/>
              <w:jc w:val="center"/>
              <w:rPr>
                <w:rFonts w:hint="eastAsia" w:asciiTheme="minorEastAsia" w:hAnsiTheme="minorEastAsia" w:eastAsiaTheme="minorEastAsia" w:cstheme="minorEastAsia"/>
                <w:color w:val="000000"/>
                <w:kern w:val="0"/>
                <w:sz w:val="20"/>
                <w:szCs w:val="20"/>
                <w:highlight w:val="yellow"/>
              </w:rPr>
            </w:pPr>
            <w:r>
              <w:rPr>
                <w:rFonts w:hint="eastAsia" w:asciiTheme="minorEastAsia" w:hAnsiTheme="minorEastAsia" w:eastAsiaTheme="minorEastAsia" w:cstheme="minorEastAsia"/>
                <w:color w:val="000000"/>
                <w:kern w:val="0"/>
                <w:sz w:val="20"/>
                <w:szCs w:val="20"/>
              </w:rPr>
              <w:t>100%</w:t>
            </w:r>
          </w:p>
        </w:tc>
        <w:tc>
          <w:tcPr>
            <w:tcW w:w="960" w:type="dxa"/>
            <w:shd w:val="clear" w:color="auto" w:fill="FFFFFF"/>
            <w:vAlign w:val="center"/>
          </w:tcPr>
          <w:p w14:paraId="1CD88C42">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w:t>
            </w:r>
          </w:p>
        </w:tc>
      </w:tr>
      <w:tr w14:paraId="63B4BA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7" w:hRule="atLeast"/>
          <w:jc w:val="center"/>
        </w:trPr>
        <w:tc>
          <w:tcPr>
            <w:tcW w:w="1100" w:type="dxa"/>
            <w:vMerge w:val="continue"/>
            <w:shd w:val="clear" w:color="auto" w:fill="FFFFFF"/>
            <w:vAlign w:val="center"/>
          </w:tcPr>
          <w:p w14:paraId="4755FEF4">
            <w:pPr>
              <w:spacing w:line="0" w:lineRule="atLeast"/>
              <w:jc w:val="center"/>
              <w:rPr>
                <w:rFonts w:hint="eastAsia" w:asciiTheme="minorEastAsia" w:hAnsiTheme="minorEastAsia" w:eastAsiaTheme="minorEastAsia" w:cstheme="minorEastAsia"/>
                <w:color w:val="000000"/>
                <w:kern w:val="0"/>
                <w:sz w:val="20"/>
                <w:szCs w:val="20"/>
              </w:rPr>
            </w:pPr>
          </w:p>
        </w:tc>
        <w:tc>
          <w:tcPr>
            <w:tcW w:w="915" w:type="dxa"/>
            <w:vMerge w:val="continue"/>
            <w:shd w:val="clear" w:color="auto" w:fill="FFFFFF"/>
            <w:vAlign w:val="center"/>
          </w:tcPr>
          <w:p w14:paraId="0FF96B58">
            <w:pPr>
              <w:widowControl/>
              <w:spacing w:line="0" w:lineRule="atLeast"/>
              <w:jc w:val="center"/>
              <w:rPr>
                <w:rFonts w:hint="eastAsia" w:asciiTheme="minorEastAsia" w:hAnsiTheme="minorEastAsia" w:eastAsiaTheme="minorEastAsia" w:cstheme="minorEastAsia"/>
                <w:color w:val="000000"/>
                <w:kern w:val="0"/>
                <w:sz w:val="20"/>
                <w:szCs w:val="20"/>
              </w:rPr>
            </w:pPr>
          </w:p>
        </w:tc>
        <w:tc>
          <w:tcPr>
            <w:tcW w:w="1110" w:type="dxa"/>
            <w:vMerge w:val="continue"/>
            <w:shd w:val="clear" w:color="auto" w:fill="FFFFFF"/>
            <w:vAlign w:val="center"/>
          </w:tcPr>
          <w:p w14:paraId="46F9AE4A">
            <w:pPr>
              <w:widowControl/>
              <w:spacing w:line="0" w:lineRule="atLeast"/>
              <w:jc w:val="center"/>
              <w:rPr>
                <w:rFonts w:hint="eastAsia" w:asciiTheme="minorEastAsia" w:hAnsiTheme="minorEastAsia" w:eastAsiaTheme="minorEastAsia" w:cstheme="minorEastAsia"/>
                <w:color w:val="000000"/>
                <w:kern w:val="0"/>
                <w:sz w:val="20"/>
                <w:szCs w:val="20"/>
              </w:rPr>
            </w:pPr>
          </w:p>
        </w:tc>
        <w:tc>
          <w:tcPr>
            <w:tcW w:w="1635" w:type="dxa"/>
            <w:shd w:val="clear" w:color="auto" w:fill="FFFFFF"/>
            <w:vAlign w:val="center"/>
          </w:tcPr>
          <w:p w14:paraId="0AA3AF02">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立项程序</w:t>
            </w:r>
          </w:p>
          <w:p w14:paraId="22B81896">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规范性</w:t>
            </w:r>
          </w:p>
        </w:tc>
        <w:tc>
          <w:tcPr>
            <w:tcW w:w="825" w:type="dxa"/>
            <w:shd w:val="clear" w:color="auto" w:fill="FFFFFF"/>
            <w:vAlign w:val="center"/>
          </w:tcPr>
          <w:p w14:paraId="6814B591">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w:t>
            </w:r>
          </w:p>
        </w:tc>
        <w:tc>
          <w:tcPr>
            <w:tcW w:w="1125" w:type="dxa"/>
            <w:shd w:val="clear" w:color="auto" w:fill="FFFFFF"/>
            <w:vAlign w:val="center"/>
          </w:tcPr>
          <w:p w14:paraId="223A673D">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规范</w:t>
            </w:r>
          </w:p>
        </w:tc>
        <w:tc>
          <w:tcPr>
            <w:tcW w:w="1069" w:type="dxa"/>
            <w:shd w:val="clear" w:color="auto" w:fill="FFFFFF"/>
            <w:vAlign w:val="center"/>
          </w:tcPr>
          <w:p w14:paraId="56B0E6B1">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规范</w:t>
            </w:r>
          </w:p>
        </w:tc>
        <w:tc>
          <w:tcPr>
            <w:tcW w:w="1215" w:type="dxa"/>
            <w:shd w:val="clear" w:color="auto" w:fill="FFFFFF"/>
            <w:vAlign w:val="center"/>
          </w:tcPr>
          <w:p w14:paraId="21B64ED6">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100%</w:t>
            </w:r>
          </w:p>
        </w:tc>
        <w:tc>
          <w:tcPr>
            <w:tcW w:w="960" w:type="dxa"/>
            <w:shd w:val="clear" w:color="auto" w:fill="FFFFFF"/>
            <w:vAlign w:val="center"/>
          </w:tcPr>
          <w:p w14:paraId="414A0A4E">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w:t>
            </w:r>
          </w:p>
        </w:tc>
      </w:tr>
      <w:tr w14:paraId="698543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1100" w:type="dxa"/>
            <w:vMerge w:val="continue"/>
            <w:shd w:val="clear" w:color="auto" w:fill="FFFFFF"/>
            <w:vAlign w:val="center"/>
          </w:tcPr>
          <w:p w14:paraId="7FD0D7FE">
            <w:pPr>
              <w:spacing w:line="0" w:lineRule="atLeast"/>
              <w:jc w:val="center"/>
              <w:rPr>
                <w:rFonts w:hint="eastAsia" w:asciiTheme="minorEastAsia" w:hAnsiTheme="minorEastAsia" w:eastAsiaTheme="minorEastAsia" w:cstheme="minorEastAsia"/>
                <w:color w:val="000000"/>
                <w:kern w:val="0"/>
                <w:sz w:val="20"/>
                <w:szCs w:val="20"/>
              </w:rPr>
            </w:pPr>
          </w:p>
        </w:tc>
        <w:tc>
          <w:tcPr>
            <w:tcW w:w="915" w:type="dxa"/>
            <w:vMerge w:val="continue"/>
            <w:shd w:val="clear" w:color="auto" w:fill="FFFFFF"/>
            <w:vAlign w:val="center"/>
          </w:tcPr>
          <w:p w14:paraId="7D4DC50E">
            <w:pPr>
              <w:widowControl/>
              <w:spacing w:line="0" w:lineRule="atLeast"/>
              <w:jc w:val="center"/>
              <w:rPr>
                <w:rFonts w:hint="eastAsia" w:asciiTheme="minorEastAsia" w:hAnsiTheme="minorEastAsia" w:eastAsiaTheme="minorEastAsia" w:cstheme="minorEastAsia"/>
                <w:color w:val="000000"/>
                <w:kern w:val="0"/>
                <w:sz w:val="20"/>
                <w:szCs w:val="20"/>
              </w:rPr>
            </w:pPr>
          </w:p>
        </w:tc>
        <w:tc>
          <w:tcPr>
            <w:tcW w:w="1110" w:type="dxa"/>
            <w:vMerge w:val="restart"/>
            <w:shd w:val="clear" w:color="auto" w:fill="FFFFFF"/>
            <w:vAlign w:val="center"/>
          </w:tcPr>
          <w:p w14:paraId="76EFA6D4">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绩效目标　</w:t>
            </w:r>
          </w:p>
        </w:tc>
        <w:tc>
          <w:tcPr>
            <w:tcW w:w="1635" w:type="dxa"/>
            <w:shd w:val="clear" w:color="auto" w:fill="FFFFFF"/>
            <w:vAlign w:val="center"/>
          </w:tcPr>
          <w:p w14:paraId="6E0A6B7D">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绩效目标</w:t>
            </w:r>
          </w:p>
          <w:p w14:paraId="6C6A3328">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合理性</w:t>
            </w:r>
          </w:p>
        </w:tc>
        <w:tc>
          <w:tcPr>
            <w:tcW w:w="825" w:type="dxa"/>
            <w:shd w:val="clear" w:color="000000" w:fill="FFFFFF"/>
            <w:vAlign w:val="center"/>
          </w:tcPr>
          <w:p w14:paraId="1B9AF5FD">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4</w:t>
            </w:r>
          </w:p>
        </w:tc>
        <w:tc>
          <w:tcPr>
            <w:tcW w:w="1125" w:type="dxa"/>
            <w:shd w:val="clear" w:color="000000" w:fill="FFFFFF"/>
            <w:vAlign w:val="center"/>
          </w:tcPr>
          <w:p w14:paraId="35503D1E">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合理</w:t>
            </w:r>
          </w:p>
        </w:tc>
        <w:tc>
          <w:tcPr>
            <w:tcW w:w="1069" w:type="dxa"/>
            <w:shd w:val="clear" w:color="000000" w:fill="FFFFFF"/>
            <w:vAlign w:val="center"/>
          </w:tcPr>
          <w:p w14:paraId="557AE783">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合理</w:t>
            </w:r>
          </w:p>
        </w:tc>
        <w:tc>
          <w:tcPr>
            <w:tcW w:w="1215" w:type="dxa"/>
            <w:shd w:val="clear" w:color="000000" w:fill="FFFFFF"/>
            <w:vAlign w:val="center"/>
          </w:tcPr>
          <w:p w14:paraId="03E63BF8">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100%</w:t>
            </w:r>
          </w:p>
        </w:tc>
        <w:tc>
          <w:tcPr>
            <w:tcW w:w="960" w:type="dxa"/>
            <w:shd w:val="clear" w:color="000000" w:fill="FFFFFF"/>
            <w:vAlign w:val="center"/>
          </w:tcPr>
          <w:p w14:paraId="026F38A1">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4</w:t>
            </w:r>
          </w:p>
        </w:tc>
      </w:tr>
      <w:tr w14:paraId="2CC838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1100" w:type="dxa"/>
            <w:vMerge w:val="continue"/>
            <w:shd w:val="clear" w:color="auto" w:fill="FFFFFF"/>
            <w:vAlign w:val="center"/>
          </w:tcPr>
          <w:p w14:paraId="067A214B">
            <w:pPr>
              <w:widowControl/>
              <w:spacing w:line="0" w:lineRule="atLeast"/>
              <w:jc w:val="center"/>
              <w:rPr>
                <w:rFonts w:hint="eastAsia" w:asciiTheme="minorEastAsia" w:hAnsiTheme="minorEastAsia" w:eastAsiaTheme="minorEastAsia" w:cstheme="minorEastAsia"/>
                <w:color w:val="000000"/>
                <w:kern w:val="0"/>
                <w:sz w:val="20"/>
                <w:szCs w:val="20"/>
              </w:rPr>
            </w:pPr>
          </w:p>
        </w:tc>
        <w:tc>
          <w:tcPr>
            <w:tcW w:w="915" w:type="dxa"/>
            <w:vMerge w:val="continue"/>
            <w:shd w:val="clear" w:color="auto" w:fill="FFFFFF"/>
            <w:vAlign w:val="center"/>
          </w:tcPr>
          <w:p w14:paraId="4CE8E5D8">
            <w:pPr>
              <w:widowControl/>
              <w:spacing w:line="0" w:lineRule="atLeast"/>
              <w:jc w:val="center"/>
              <w:rPr>
                <w:rFonts w:hint="eastAsia" w:asciiTheme="minorEastAsia" w:hAnsiTheme="minorEastAsia" w:eastAsiaTheme="minorEastAsia" w:cstheme="minorEastAsia"/>
                <w:color w:val="000000"/>
                <w:kern w:val="0"/>
                <w:sz w:val="20"/>
                <w:szCs w:val="20"/>
              </w:rPr>
            </w:pPr>
          </w:p>
        </w:tc>
        <w:tc>
          <w:tcPr>
            <w:tcW w:w="1110" w:type="dxa"/>
            <w:vMerge w:val="continue"/>
            <w:shd w:val="clear" w:color="auto" w:fill="FFFFFF"/>
            <w:vAlign w:val="center"/>
          </w:tcPr>
          <w:p w14:paraId="78BAA60B">
            <w:pPr>
              <w:widowControl/>
              <w:spacing w:line="0" w:lineRule="atLeast"/>
              <w:jc w:val="center"/>
              <w:rPr>
                <w:rFonts w:hint="eastAsia" w:asciiTheme="minorEastAsia" w:hAnsiTheme="minorEastAsia" w:eastAsiaTheme="minorEastAsia" w:cstheme="minorEastAsia"/>
                <w:color w:val="000000"/>
                <w:kern w:val="0"/>
                <w:sz w:val="20"/>
                <w:szCs w:val="20"/>
              </w:rPr>
            </w:pPr>
          </w:p>
        </w:tc>
        <w:tc>
          <w:tcPr>
            <w:tcW w:w="1635" w:type="dxa"/>
            <w:shd w:val="clear" w:color="auto" w:fill="FFFFFF"/>
            <w:vAlign w:val="center"/>
          </w:tcPr>
          <w:p w14:paraId="403B09A1">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绩效指标</w:t>
            </w:r>
          </w:p>
          <w:p w14:paraId="6D27C31B">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明确性</w:t>
            </w:r>
          </w:p>
        </w:tc>
        <w:tc>
          <w:tcPr>
            <w:tcW w:w="825" w:type="dxa"/>
            <w:shd w:val="clear" w:color="000000" w:fill="FFFFFF"/>
            <w:vAlign w:val="center"/>
          </w:tcPr>
          <w:p w14:paraId="345A9EB9">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w:t>
            </w:r>
          </w:p>
        </w:tc>
        <w:tc>
          <w:tcPr>
            <w:tcW w:w="1125" w:type="dxa"/>
            <w:shd w:val="clear" w:color="000000" w:fill="FFFFFF"/>
            <w:vAlign w:val="center"/>
          </w:tcPr>
          <w:p w14:paraId="31F147CD">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明确</w:t>
            </w:r>
          </w:p>
        </w:tc>
        <w:tc>
          <w:tcPr>
            <w:tcW w:w="1069" w:type="dxa"/>
            <w:shd w:val="clear" w:color="000000" w:fill="FFFFFF"/>
            <w:vAlign w:val="center"/>
          </w:tcPr>
          <w:p w14:paraId="2B6BC5C8">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明确</w:t>
            </w:r>
          </w:p>
        </w:tc>
        <w:tc>
          <w:tcPr>
            <w:tcW w:w="1215" w:type="dxa"/>
            <w:shd w:val="clear" w:color="000000" w:fill="FFFFFF"/>
            <w:vAlign w:val="center"/>
          </w:tcPr>
          <w:p w14:paraId="204C96DD">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100%</w:t>
            </w:r>
          </w:p>
        </w:tc>
        <w:tc>
          <w:tcPr>
            <w:tcW w:w="960" w:type="dxa"/>
            <w:shd w:val="clear" w:color="000000" w:fill="FFFFFF"/>
            <w:vAlign w:val="center"/>
          </w:tcPr>
          <w:p w14:paraId="1205AA45">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w:t>
            </w:r>
          </w:p>
        </w:tc>
      </w:tr>
      <w:tr w14:paraId="4C329D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1100" w:type="dxa"/>
            <w:vMerge w:val="continue"/>
            <w:shd w:val="clear" w:color="auto" w:fill="FFFFFF"/>
            <w:vAlign w:val="center"/>
          </w:tcPr>
          <w:p w14:paraId="3100F1E8">
            <w:pPr>
              <w:spacing w:line="0" w:lineRule="atLeast"/>
              <w:jc w:val="center"/>
              <w:rPr>
                <w:rFonts w:hint="eastAsia" w:asciiTheme="minorEastAsia" w:hAnsiTheme="minorEastAsia" w:eastAsiaTheme="minorEastAsia" w:cstheme="minorEastAsia"/>
                <w:color w:val="000000"/>
                <w:kern w:val="0"/>
                <w:sz w:val="20"/>
                <w:szCs w:val="20"/>
              </w:rPr>
            </w:pPr>
          </w:p>
        </w:tc>
        <w:tc>
          <w:tcPr>
            <w:tcW w:w="915" w:type="dxa"/>
            <w:vMerge w:val="continue"/>
            <w:shd w:val="clear" w:color="auto" w:fill="FFFFFF"/>
            <w:vAlign w:val="center"/>
          </w:tcPr>
          <w:p w14:paraId="5C4D75EB">
            <w:pPr>
              <w:spacing w:line="0" w:lineRule="atLeast"/>
              <w:jc w:val="center"/>
              <w:rPr>
                <w:rFonts w:hint="eastAsia" w:asciiTheme="minorEastAsia" w:hAnsiTheme="minorEastAsia" w:eastAsiaTheme="minorEastAsia" w:cstheme="minorEastAsia"/>
                <w:color w:val="000000"/>
                <w:kern w:val="0"/>
                <w:sz w:val="20"/>
                <w:szCs w:val="20"/>
              </w:rPr>
            </w:pPr>
          </w:p>
        </w:tc>
        <w:tc>
          <w:tcPr>
            <w:tcW w:w="1110" w:type="dxa"/>
            <w:vMerge w:val="restart"/>
            <w:shd w:val="clear" w:color="auto" w:fill="FFFFFF"/>
            <w:vAlign w:val="center"/>
          </w:tcPr>
          <w:p w14:paraId="36071F66">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资金投入</w:t>
            </w:r>
          </w:p>
        </w:tc>
        <w:tc>
          <w:tcPr>
            <w:tcW w:w="1635" w:type="dxa"/>
            <w:shd w:val="clear" w:color="auto" w:fill="FFFFFF"/>
            <w:vAlign w:val="center"/>
          </w:tcPr>
          <w:p w14:paraId="512ED04F">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预算编制</w:t>
            </w:r>
          </w:p>
          <w:p w14:paraId="7D55B19E">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科学性</w:t>
            </w:r>
          </w:p>
        </w:tc>
        <w:tc>
          <w:tcPr>
            <w:tcW w:w="825" w:type="dxa"/>
            <w:shd w:val="clear" w:color="auto" w:fill="FFFFFF"/>
            <w:vAlign w:val="center"/>
          </w:tcPr>
          <w:p w14:paraId="03CC18DA">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4</w:t>
            </w:r>
          </w:p>
        </w:tc>
        <w:tc>
          <w:tcPr>
            <w:tcW w:w="1125" w:type="dxa"/>
            <w:shd w:val="clear" w:color="auto" w:fill="FFFFFF"/>
            <w:vAlign w:val="center"/>
          </w:tcPr>
          <w:p w14:paraId="208A6445">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科学</w:t>
            </w:r>
          </w:p>
        </w:tc>
        <w:tc>
          <w:tcPr>
            <w:tcW w:w="1069" w:type="dxa"/>
            <w:shd w:val="clear" w:color="auto" w:fill="FFFFFF"/>
            <w:vAlign w:val="center"/>
          </w:tcPr>
          <w:p w14:paraId="5DC9A5B8">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科学</w:t>
            </w:r>
          </w:p>
        </w:tc>
        <w:tc>
          <w:tcPr>
            <w:tcW w:w="1215" w:type="dxa"/>
            <w:shd w:val="clear" w:color="auto" w:fill="FFFFFF"/>
            <w:vAlign w:val="center"/>
          </w:tcPr>
          <w:p w14:paraId="69E69336">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100%</w:t>
            </w:r>
          </w:p>
        </w:tc>
        <w:tc>
          <w:tcPr>
            <w:tcW w:w="960" w:type="dxa"/>
            <w:shd w:val="clear" w:color="auto" w:fill="FFFFFF"/>
            <w:vAlign w:val="center"/>
          </w:tcPr>
          <w:p w14:paraId="5A89BF4E">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4</w:t>
            </w:r>
          </w:p>
        </w:tc>
      </w:tr>
      <w:tr w14:paraId="1FADB3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1100" w:type="dxa"/>
            <w:vMerge w:val="continue"/>
            <w:shd w:val="clear" w:color="auto" w:fill="FFFFFF"/>
            <w:vAlign w:val="center"/>
          </w:tcPr>
          <w:p w14:paraId="55D60C04">
            <w:pPr>
              <w:widowControl/>
              <w:spacing w:line="0" w:lineRule="atLeast"/>
              <w:jc w:val="center"/>
              <w:rPr>
                <w:rFonts w:hint="eastAsia" w:asciiTheme="minorEastAsia" w:hAnsiTheme="minorEastAsia" w:eastAsiaTheme="minorEastAsia" w:cstheme="minorEastAsia"/>
                <w:color w:val="000000"/>
                <w:kern w:val="0"/>
                <w:sz w:val="20"/>
                <w:szCs w:val="20"/>
              </w:rPr>
            </w:pPr>
          </w:p>
        </w:tc>
        <w:tc>
          <w:tcPr>
            <w:tcW w:w="915" w:type="dxa"/>
            <w:vMerge w:val="continue"/>
            <w:shd w:val="clear" w:color="auto" w:fill="FFFFFF"/>
            <w:vAlign w:val="center"/>
          </w:tcPr>
          <w:p w14:paraId="4711E2FA">
            <w:pPr>
              <w:widowControl/>
              <w:spacing w:line="0" w:lineRule="atLeast"/>
              <w:jc w:val="center"/>
              <w:rPr>
                <w:rFonts w:hint="eastAsia" w:asciiTheme="minorEastAsia" w:hAnsiTheme="minorEastAsia" w:eastAsiaTheme="minorEastAsia" w:cstheme="minorEastAsia"/>
                <w:color w:val="000000"/>
                <w:kern w:val="0"/>
                <w:sz w:val="20"/>
                <w:szCs w:val="20"/>
              </w:rPr>
            </w:pPr>
          </w:p>
        </w:tc>
        <w:tc>
          <w:tcPr>
            <w:tcW w:w="1110" w:type="dxa"/>
            <w:vMerge w:val="continue"/>
            <w:shd w:val="clear" w:color="auto" w:fill="FFFFFF"/>
            <w:vAlign w:val="center"/>
          </w:tcPr>
          <w:p w14:paraId="71BA815A">
            <w:pPr>
              <w:widowControl/>
              <w:spacing w:line="0" w:lineRule="atLeast"/>
              <w:jc w:val="center"/>
              <w:rPr>
                <w:rFonts w:hint="eastAsia" w:asciiTheme="minorEastAsia" w:hAnsiTheme="minorEastAsia" w:eastAsiaTheme="minorEastAsia" w:cstheme="minorEastAsia"/>
                <w:color w:val="000000"/>
                <w:kern w:val="0"/>
                <w:sz w:val="20"/>
                <w:szCs w:val="20"/>
              </w:rPr>
            </w:pPr>
          </w:p>
        </w:tc>
        <w:tc>
          <w:tcPr>
            <w:tcW w:w="1635" w:type="dxa"/>
            <w:shd w:val="clear" w:color="auto" w:fill="FFFFFF"/>
            <w:vAlign w:val="center"/>
          </w:tcPr>
          <w:p w14:paraId="2187866A">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资金分配</w:t>
            </w:r>
          </w:p>
          <w:p w14:paraId="55F1335D">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合理性</w:t>
            </w:r>
          </w:p>
        </w:tc>
        <w:tc>
          <w:tcPr>
            <w:tcW w:w="825" w:type="dxa"/>
            <w:shd w:val="clear" w:color="auto" w:fill="FFFFFF"/>
            <w:vAlign w:val="center"/>
          </w:tcPr>
          <w:p w14:paraId="0363A6ED">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w:t>
            </w:r>
          </w:p>
        </w:tc>
        <w:tc>
          <w:tcPr>
            <w:tcW w:w="1125" w:type="dxa"/>
            <w:shd w:val="clear" w:color="auto" w:fill="FFFFFF"/>
            <w:vAlign w:val="center"/>
          </w:tcPr>
          <w:p w14:paraId="5BD81517">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合理</w:t>
            </w:r>
          </w:p>
        </w:tc>
        <w:tc>
          <w:tcPr>
            <w:tcW w:w="1069" w:type="dxa"/>
            <w:shd w:val="clear" w:color="auto" w:fill="FFFFFF"/>
            <w:vAlign w:val="center"/>
          </w:tcPr>
          <w:p w14:paraId="5060CDA8">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合理</w:t>
            </w:r>
          </w:p>
        </w:tc>
        <w:tc>
          <w:tcPr>
            <w:tcW w:w="1215" w:type="dxa"/>
            <w:shd w:val="clear" w:color="auto" w:fill="FFFFFF"/>
            <w:vAlign w:val="center"/>
          </w:tcPr>
          <w:p w14:paraId="44FB1AF0">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100%</w:t>
            </w:r>
          </w:p>
        </w:tc>
        <w:tc>
          <w:tcPr>
            <w:tcW w:w="960" w:type="dxa"/>
            <w:shd w:val="clear" w:color="auto" w:fill="FFFFFF"/>
            <w:vAlign w:val="center"/>
          </w:tcPr>
          <w:p w14:paraId="56F68BEC">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w:t>
            </w:r>
          </w:p>
        </w:tc>
      </w:tr>
      <w:tr w14:paraId="675187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2" w:hRule="atLeast"/>
          <w:jc w:val="center"/>
        </w:trPr>
        <w:tc>
          <w:tcPr>
            <w:tcW w:w="1100" w:type="dxa"/>
            <w:vMerge w:val="restart"/>
            <w:shd w:val="clear" w:color="auto" w:fill="FFFFFF"/>
            <w:vAlign w:val="center"/>
          </w:tcPr>
          <w:p w14:paraId="0A907FE6">
            <w:pPr>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过程</w:t>
            </w:r>
          </w:p>
          <w:p w14:paraId="17E4E3C8">
            <w:pPr>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915" w:type="dxa"/>
            <w:vMerge w:val="restart"/>
            <w:shd w:val="clear" w:color="auto" w:fill="FFFFFF"/>
            <w:vAlign w:val="center"/>
          </w:tcPr>
          <w:p w14:paraId="641EB4DA">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20"/>
                <w:szCs w:val="20"/>
              </w:rPr>
              <w:t>20分</w:t>
            </w:r>
          </w:p>
        </w:tc>
        <w:tc>
          <w:tcPr>
            <w:tcW w:w="1110" w:type="dxa"/>
            <w:vMerge w:val="restart"/>
            <w:shd w:val="clear" w:color="auto" w:fill="FFFFFF"/>
            <w:vAlign w:val="center"/>
          </w:tcPr>
          <w:p w14:paraId="75DB1540">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资金管理</w:t>
            </w:r>
          </w:p>
        </w:tc>
        <w:tc>
          <w:tcPr>
            <w:tcW w:w="1635" w:type="dxa"/>
            <w:shd w:val="clear" w:color="auto" w:fill="FFFFFF"/>
            <w:vAlign w:val="center"/>
          </w:tcPr>
          <w:p w14:paraId="40D3D2D3">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资金到位率</w:t>
            </w:r>
          </w:p>
        </w:tc>
        <w:tc>
          <w:tcPr>
            <w:tcW w:w="825" w:type="dxa"/>
            <w:shd w:val="clear" w:color="000000" w:fill="FFFFFF"/>
            <w:vAlign w:val="center"/>
          </w:tcPr>
          <w:p w14:paraId="463DF49A">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4</w:t>
            </w:r>
          </w:p>
        </w:tc>
        <w:tc>
          <w:tcPr>
            <w:tcW w:w="1125" w:type="dxa"/>
            <w:shd w:val="clear" w:color="000000" w:fill="FFFFFF"/>
            <w:vAlign w:val="center"/>
          </w:tcPr>
          <w:p w14:paraId="1C506975">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100%</w:t>
            </w:r>
          </w:p>
        </w:tc>
        <w:tc>
          <w:tcPr>
            <w:tcW w:w="1069" w:type="dxa"/>
            <w:shd w:val="clear" w:color="000000" w:fill="FFFFFF"/>
            <w:vAlign w:val="center"/>
          </w:tcPr>
          <w:p w14:paraId="3B519318">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100%</w:t>
            </w:r>
          </w:p>
        </w:tc>
        <w:tc>
          <w:tcPr>
            <w:tcW w:w="1215" w:type="dxa"/>
            <w:shd w:val="clear" w:color="000000" w:fill="FFFFFF"/>
            <w:vAlign w:val="center"/>
          </w:tcPr>
          <w:p w14:paraId="72F4C09E">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100%</w:t>
            </w:r>
          </w:p>
        </w:tc>
        <w:tc>
          <w:tcPr>
            <w:tcW w:w="960" w:type="dxa"/>
            <w:shd w:val="clear" w:color="000000" w:fill="FFFFFF"/>
            <w:vAlign w:val="center"/>
          </w:tcPr>
          <w:p w14:paraId="7DBF1253">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4</w:t>
            </w:r>
          </w:p>
        </w:tc>
      </w:tr>
      <w:tr w14:paraId="78FB87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7" w:hRule="atLeast"/>
          <w:jc w:val="center"/>
        </w:trPr>
        <w:tc>
          <w:tcPr>
            <w:tcW w:w="1100" w:type="dxa"/>
            <w:vMerge w:val="continue"/>
            <w:shd w:val="clear" w:color="auto" w:fill="FFFFFF"/>
            <w:vAlign w:val="center"/>
          </w:tcPr>
          <w:p w14:paraId="3DEA5744">
            <w:pPr>
              <w:spacing w:line="0" w:lineRule="atLeast"/>
              <w:jc w:val="center"/>
              <w:rPr>
                <w:rFonts w:hint="eastAsia" w:asciiTheme="minorEastAsia" w:hAnsiTheme="minorEastAsia" w:eastAsiaTheme="minorEastAsia" w:cstheme="minorEastAsia"/>
                <w:color w:val="000000"/>
                <w:kern w:val="0"/>
                <w:sz w:val="20"/>
                <w:szCs w:val="20"/>
              </w:rPr>
            </w:pPr>
          </w:p>
        </w:tc>
        <w:tc>
          <w:tcPr>
            <w:tcW w:w="915" w:type="dxa"/>
            <w:vMerge w:val="continue"/>
            <w:shd w:val="clear" w:color="auto" w:fill="FFFFFF"/>
            <w:vAlign w:val="center"/>
          </w:tcPr>
          <w:p w14:paraId="4CFEB7DC">
            <w:pPr>
              <w:spacing w:line="0" w:lineRule="atLeast"/>
              <w:jc w:val="center"/>
              <w:rPr>
                <w:rFonts w:hint="eastAsia" w:asciiTheme="minorEastAsia" w:hAnsiTheme="minorEastAsia" w:eastAsiaTheme="minorEastAsia" w:cstheme="minorEastAsia"/>
                <w:color w:val="000000"/>
                <w:kern w:val="0"/>
                <w:sz w:val="20"/>
                <w:szCs w:val="20"/>
              </w:rPr>
            </w:pPr>
          </w:p>
        </w:tc>
        <w:tc>
          <w:tcPr>
            <w:tcW w:w="1110" w:type="dxa"/>
            <w:vMerge w:val="continue"/>
            <w:shd w:val="clear" w:color="auto" w:fill="FFFFFF"/>
            <w:vAlign w:val="center"/>
          </w:tcPr>
          <w:p w14:paraId="58B23588">
            <w:pPr>
              <w:spacing w:line="0" w:lineRule="atLeast"/>
              <w:jc w:val="center"/>
              <w:rPr>
                <w:rFonts w:hint="eastAsia" w:asciiTheme="minorEastAsia" w:hAnsiTheme="minorEastAsia" w:eastAsiaTheme="minorEastAsia" w:cstheme="minorEastAsia"/>
                <w:color w:val="000000"/>
                <w:kern w:val="0"/>
                <w:sz w:val="20"/>
                <w:szCs w:val="20"/>
              </w:rPr>
            </w:pPr>
          </w:p>
        </w:tc>
        <w:tc>
          <w:tcPr>
            <w:tcW w:w="1635" w:type="dxa"/>
            <w:shd w:val="clear" w:color="auto" w:fill="FFFFFF"/>
            <w:vAlign w:val="center"/>
          </w:tcPr>
          <w:p w14:paraId="7FD85A9B">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预算执行率</w:t>
            </w:r>
          </w:p>
        </w:tc>
        <w:tc>
          <w:tcPr>
            <w:tcW w:w="825" w:type="dxa"/>
            <w:shd w:val="clear" w:color="auto" w:fill="FFFFFF"/>
            <w:vAlign w:val="center"/>
          </w:tcPr>
          <w:p w14:paraId="72D83B82">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4</w:t>
            </w:r>
          </w:p>
        </w:tc>
        <w:tc>
          <w:tcPr>
            <w:tcW w:w="1125" w:type="dxa"/>
            <w:shd w:val="clear" w:color="auto" w:fill="FFFFFF"/>
            <w:vAlign w:val="center"/>
          </w:tcPr>
          <w:p w14:paraId="3FFE9BE7">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100%</w:t>
            </w:r>
          </w:p>
        </w:tc>
        <w:tc>
          <w:tcPr>
            <w:tcW w:w="1069" w:type="dxa"/>
            <w:shd w:val="clear" w:color="auto" w:fill="FFFFFF"/>
            <w:vAlign w:val="center"/>
          </w:tcPr>
          <w:p w14:paraId="164D3040">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78.03%</w:t>
            </w:r>
          </w:p>
        </w:tc>
        <w:tc>
          <w:tcPr>
            <w:tcW w:w="1215" w:type="dxa"/>
            <w:shd w:val="clear" w:color="auto" w:fill="FFFFFF"/>
            <w:vAlign w:val="center"/>
          </w:tcPr>
          <w:p w14:paraId="0976DC54">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78.03%</w:t>
            </w:r>
          </w:p>
        </w:tc>
        <w:tc>
          <w:tcPr>
            <w:tcW w:w="960" w:type="dxa"/>
            <w:shd w:val="clear" w:color="auto" w:fill="FFFFFF"/>
            <w:vAlign w:val="center"/>
          </w:tcPr>
          <w:p w14:paraId="7F2C1880">
            <w:pPr>
              <w:widowControl/>
              <w:spacing w:line="0" w:lineRule="atLeast"/>
              <w:jc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rPr>
              <w:t>3</w:t>
            </w:r>
            <w:r>
              <w:rPr>
                <w:rFonts w:hint="eastAsia" w:asciiTheme="minorEastAsia" w:hAnsiTheme="minorEastAsia" w:eastAsiaTheme="minorEastAsia" w:cstheme="minorEastAsia"/>
                <w:color w:val="000000"/>
                <w:kern w:val="0"/>
                <w:sz w:val="20"/>
                <w:szCs w:val="20"/>
                <w:lang w:val="en-US" w:eastAsia="zh-CN"/>
              </w:rPr>
              <w:t>.12</w:t>
            </w:r>
          </w:p>
        </w:tc>
      </w:tr>
      <w:tr w14:paraId="74D4D9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2" w:hRule="atLeast"/>
          <w:jc w:val="center"/>
        </w:trPr>
        <w:tc>
          <w:tcPr>
            <w:tcW w:w="1100" w:type="dxa"/>
            <w:vMerge w:val="continue"/>
            <w:shd w:val="clear" w:color="auto" w:fill="FFFFFF"/>
            <w:vAlign w:val="center"/>
          </w:tcPr>
          <w:p w14:paraId="0D7ACD78">
            <w:pPr>
              <w:spacing w:line="0" w:lineRule="atLeast"/>
              <w:jc w:val="center"/>
              <w:rPr>
                <w:rFonts w:hint="eastAsia" w:asciiTheme="minorEastAsia" w:hAnsiTheme="minorEastAsia" w:eastAsiaTheme="minorEastAsia" w:cstheme="minorEastAsia"/>
                <w:color w:val="000000"/>
                <w:kern w:val="0"/>
                <w:sz w:val="20"/>
                <w:szCs w:val="20"/>
              </w:rPr>
            </w:pPr>
          </w:p>
        </w:tc>
        <w:tc>
          <w:tcPr>
            <w:tcW w:w="915" w:type="dxa"/>
            <w:vMerge w:val="continue"/>
            <w:shd w:val="clear" w:color="auto" w:fill="FFFFFF"/>
            <w:vAlign w:val="center"/>
          </w:tcPr>
          <w:p w14:paraId="2D25EE62">
            <w:pPr>
              <w:widowControl/>
              <w:spacing w:line="0" w:lineRule="atLeast"/>
              <w:jc w:val="center"/>
              <w:rPr>
                <w:rFonts w:hint="eastAsia" w:asciiTheme="minorEastAsia" w:hAnsiTheme="minorEastAsia" w:eastAsiaTheme="minorEastAsia" w:cstheme="minorEastAsia"/>
                <w:color w:val="000000"/>
                <w:kern w:val="0"/>
                <w:sz w:val="20"/>
                <w:szCs w:val="20"/>
              </w:rPr>
            </w:pPr>
          </w:p>
        </w:tc>
        <w:tc>
          <w:tcPr>
            <w:tcW w:w="1110" w:type="dxa"/>
            <w:shd w:val="clear" w:color="auto" w:fill="FFFFFF"/>
            <w:vAlign w:val="center"/>
          </w:tcPr>
          <w:p w14:paraId="64739664">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资金管理</w:t>
            </w:r>
          </w:p>
        </w:tc>
        <w:tc>
          <w:tcPr>
            <w:tcW w:w="1635" w:type="dxa"/>
            <w:shd w:val="clear" w:color="auto" w:fill="FFFFFF"/>
            <w:vAlign w:val="center"/>
          </w:tcPr>
          <w:p w14:paraId="05580B67">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资金使用</w:t>
            </w:r>
          </w:p>
          <w:p w14:paraId="0C57BFE3">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合规性</w:t>
            </w:r>
          </w:p>
        </w:tc>
        <w:tc>
          <w:tcPr>
            <w:tcW w:w="825" w:type="dxa"/>
            <w:shd w:val="clear" w:color="000000" w:fill="FFFFFF"/>
            <w:vAlign w:val="center"/>
          </w:tcPr>
          <w:p w14:paraId="602D99A1">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4</w:t>
            </w:r>
          </w:p>
        </w:tc>
        <w:tc>
          <w:tcPr>
            <w:tcW w:w="1125" w:type="dxa"/>
            <w:shd w:val="clear" w:color="000000" w:fill="FFFFFF"/>
            <w:vAlign w:val="center"/>
          </w:tcPr>
          <w:p w14:paraId="4679C105">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合格</w:t>
            </w:r>
          </w:p>
        </w:tc>
        <w:tc>
          <w:tcPr>
            <w:tcW w:w="1069" w:type="dxa"/>
            <w:shd w:val="clear" w:color="000000" w:fill="FFFFFF"/>
            <w:vAlign w:val="center"/>
          </w:tcPr>
          <w:p w14:paraId="267336AA">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合格</w:t>
            </w:r>
          </w:p>
        </w:tc>
        <w:tc>
          <w:tcPr>
            <w:tcW w:w="1215" w:type="dxa"/>
            <w:shd w:val="clear" w:color="000000" w:fill="FFFFFF"/>
            <w:vAlign w:val="center"/>
          </w:tcPr>
          <w:p w14:paraId="269CC01B">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100%</w:t>
            </w:r>
          </w:p>
        </w:tc>
        <w:tc>
          <w:tcPr>
            <w:tcW w:w="960" w:type="dxa"/>
            <w:shd w:val="clear" w:color="000000" w:fill="FFFFFF"/>
            <w:vAlign w:val="center"/>
          </w:tcPr>
          <w:p w14:paraId="6E4C089B">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4</w:t>
            </w:r>
          </w:p>
        </w:tc>
      </w:tr>
      <w:tr w14:paraId="28FA57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2" w:hRule="atLeast"/>
          <w:jc w:val="center"/>
        </w:trPr>
        <w:tc>
          <w:tcPr>
            <w:tcW w:w="1100" w:type="dxa"/>
            <w:vMerge w:val="continue"/>
            <w:shd w:val="clear" w:color="auto" w:fill="FFFFFF"/>
            <w:vAlign w:val="center"/>
          </w:tcPr>
          <w:p w14:paraId="277DD3D0">
            <w:pPr>
              <w:spacing w:line="0" w:lineRule="atLeast"/>
              <w:jc w:val="center"/>
              <w:rPr>
                <w:rFonts w:hint="eastAsia" w:asciiTheme="minorEastAsia" w:hAnsiTheme="minorEastAsia" w:eastAsiaTheme="minorEastAsia" w:cstheme="minorEastAsia"/>
                <w:color w:val="000000"/>
                <w:kern w:val="0"/>
                <w:sz w:val="20"/>
                <w:szCs w:val="20"/>
              </w:rPr>
            </w:pPr>
          </w:p>
        </w:tc>
        <w:tc>
          <w:tcPr>
            <w:tcW w:w="915" w:type="dxa"/>
            <w:vMerge w:val="continue"/>
            <w:shd w:val="clear" w:color="auto" w:fill="FFFFFF"/>
            <w:vAlign w:val="center"/>
          </w:tcPr>
          <w:p w14:paraId="2940BB92">
            <w:pPr>
              <w:spacing w:line="0" w:lineRule="atLeast"/>
              <w:jc w:val="center"/>
              <w:rPr>
                <w:rFonts w:hint="eastAsia" w:asciiTheme="minorEastAsia" w:hAnsiTheme="minorEastAsia" w:eastAsiaTheme="minorEastAsia" w:cstheme="minorEastAsia"/>
                <w:color w:val="000000"/>
                <w:kern w:val="0"/>
                <w:sz w:val="20"/>
                <w:szCs w:val="20"/>
              </w:rPr>
            </w:pPr>
          </w:p>
        </w:tc>
        <w:tc>
          <w:tcPr>
            <w:tcW w:w="1110" w:type="dxa"/>
            <w:vMerge w:val="restart"/>
            <w:shd w:val="clear" w:color="auto" w:fill="FFFFFF"/>
            <w:vAlign w:val="center"/>
          </w:tcPr>
          <w:p w14:paraId="27485DC9">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组织实施</w:t>
            </w:r>
          </w:p>
        </w:tc>
        <w:tc>
          <w:tcPr>
            <w:tcW w:w="1635" w:type="dxa"/>
            <w:shd w:val="clear" w:color="auto" w:fill="FFFFFF"/>
            <w:vAlign w:val="center"/>
          </w:tcPr>
          <w:p w14:paraId="0444CDEE">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管理制度</w:t>
            </w:r>
          </w:p>
          <w:p w14:paraId="24C9B966">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健全性</w:t>
            </w:r>
          </w:p>
        </w:tc>
        <w:tc>
          <w:tcPr>
            <w:tcW w:w="825" w:type="dxa"/>
            <w:shd w:val="clear" w:color="000000" w:fill="FFFFFF"/>
            <w:vAlign w:val="center"/>
          </w:tcPr>
          <w:p w14:paraId="0F7650AE">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4</w:t>
            </w:r>
          </w:p>
        </w:tc>
        <w:tc>
          <w:tcPr>
            <w:tcW w:w="1125" w:type="dxa"/>
            <w:shd w:val="clear" w:color="000000" w:fill="FFFFFF"/>
            <w:vAlign w:val="center"/>
          </w:tcPr>
          <w:p w14:paraId="0127FD14">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健全</w:t>
            </w:r>
          </w:p>
        </w:tc>
        <w:tc>
          <w:tcPr>
            <w:tcW w:w="1069" w:type="dxa"/>
            <w:shd w:val="clear" w:color="000000" w:fill="FFFFFF"/>
            <w:vAlign w:val="center"/>
          </w:tcPr>
          <w:p w14:paraId="72E91F0B">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健全</w:t>
            </w:r>
          </w:p>
        </w:tc>
        <w:tc>
          <w:tcPr>
            <w:tcW w:w="1215" w:type="dxa"/>
            <w:shd w:val="clear" w:color="000000" w:fill="FFFFFF"/>
            <w:vAlign w:val="center"/>
          </w:tcPr>
          <w:p w14:paraId="136B1DB7">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100%</w:t>
            </w:r>
          </w:p>
        </w:tc>
        <w:tc>
          <w:tcPr>
            <w:tcW w:w="960" w:type="dxa"/>
            <w:shd w:val="clear" w:color="000000" w:fill="FFFFFF"/>
            <w:vAlign w:val="center"/>
          </w:tcPr>
          <w:p w14:paraId="7A343E2B">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4</w:t>
            </w:r>
          </w:p>
        </w:tc>
      </w:tr>
      <w:tr w14:paraId="6D9B0D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1100" w:type="dxa"/>
            <w:vMerge w:val="continue"/>
            <w:shd w:val="clear" w:color="auto" w:fill="FFFFFF"/>
            <w:vAlign w:val="center"/>
          </w:tcPr>
          <w:p w14:paraId="53282974">
            <w:pPr>
              <w:widowControl/>
              <w:spacing w:line="0" w:lineRule="atLeast"/>
              <w:jc w:val="center"/>
              <w:rPr>
                <w:rFonts w:hint="eastAsia" w:asciiTheme="minorEastAsia" w:hAnsiTheme="minorEastAsia" w:eastAsiaTheme="minorEastAsia" w:cstheme="minorEastAsia"/>
                <w:color w:val="000000"/>
                <w:kern w:val="0"/>
                <w:sz w:val="20"/>
                <w:szCs w:val="20"/>
              </w:rPr>
            </w:pPr>
          </w:p>
        </w:tc>
        <w:tc>
          <w:tcPr>
            <w:tcW w:w="915" w:type="dxa"/>
            <w:vMerge w:val="continue"/>
            <w:shd w:val="clear" w:color="auto" w:fill="FFFFFF"/>
            <w:vAlign w:val="center"/>
          </w:tcPr>
          <w:p w14:paraId="052E3B4E">
            <w:pPr>
              <w:widowControl/>
              <w:spacing w:line="0" w:lineRule="atLeast"/>
              <w:jc w:val="center"/>
              <w:rPr>
                <w:rFonts w:hint="eastAsia" w:asciiTheme="minorEastAsia" w:hAnsiTheme="minorEastAsia" w:eastAsiaTheme="minorEastAsia" w:cstheme="minorEastAsia"/>
                <w:color w:val="000000"/>
                <w:kern w:val="0"/>
                <w:sz w:val="20"/>
                <w:szCs w:val="20"/>
              </w:rPr>
            </w:pPr>
          </w:p>
        </w:tc>
        <w:tc>
          <w:tcPr>
            <w:tcW w:w="1110" w:type="dxa"/>
            <w:vMerge w:val="continue"/>
            <w:shd w:val="clear" w:color="auto" w:fill="FFFFFF"/>
            <w:vAlign w:val="center"/>
          </w:tcPr>
          <w:p w14:paraId="6271C98D">
            <w:pPr>
              <w:widowControl/>
              <w:spacing w:line="0" w:lineRule="atLeast"/>
              <w:jc w:val="center"/>
              <w:rPr>
                <w:rFonts w:hint="eastAsia" w:asciiTheme="minorEastAsia" w:hAnsiTheme="minorEastAsia" w:eastAsiaTheme="minorEastAsia" w:cstheme="minorEastAsia"/>
                <w:color w:val="000000"/>
                <w:kern w:val="0"/>
                <w:sz w:val="20"/>
                <w:szCs w:val="20"/>
              </w:rPr>
            </w:pPr>
          </w:p>
        </w:tc>
        <w:tc>
          <w:tcPr>
            <w:tcW w:w="1635" w:type="dxa"/>
            <w:shd w:val="clear" w:color="auto" w:fill="FFFFFF"/>
            <w:vAlign w:val="center"/>
          </w:tcPr>
          <w:p w14:paraId="6C102A1F">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制度执行</w:t>
            </w:r>
          </w:p>
          <w:p w14:paraId="196482C6">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有效性</w:t>
            </w:r>
          </w:p>
        </w:tc>
        <w:tc>
          <w:tcPr>
            <w:tcW w:w="825" w:type="dxa"/>
            <w:shd w:val="clear" w:color="000000" w:fill="FFFFFF"/>
            <w:vAlign w:val="center"/>
          </w:tcPr>
          <w:p w14:paraId="2AF48EFA">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4</w:t>
            </w:r>
          </w:p>
        </w:tc>
        <w:tc>
          <w:tcPr>
            <w:tcW w:w="1125" w:type="dxa"/>
            <w:shd w:val="clear" w:color="000000" w:fill="FFFFFF"/>
            <w:vAlign w:val="center"/>
          </w:tcPr>
          <w:p w14:paraId="343391E5">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有效</w:t>
            </w:r>
          </w:p>
        </w:tc>
        <w:tc>
          <w:tcPr>
            <w:tcW w:w="1069" w:type="dxa"/>
            <w:shd w:val="clear" w:color="000000" w:fill="FFFFFF"/>
            <w:vAlign w:val="center"/>
          </w:tcPr>
          <w:p w14:paraId="178575CE">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有效</w:t>
            </w:r>
          </w:p>
        </w:tc>
        <w:tc>
          <w:tcPr>
            <w:tcW w:w="1215" w:type="dxa"/>
            <w:shd w:val="clear" w:color="000000" w:fill="FFFFFF"/>
            <w:vAlign w:val="center"/>
          </w:tcPr>
          <w:p w14:paraId="44BD4680">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lang w:val="en-US" w:eastAsia="zh-CN"/>
              </w:rPr>
              <w:t>100</w:t>
            </w:r>
            <w:r>
              <w:rPr>
                <w:rFonts w:hint="eastAsia" w:asciiTheme="minorEastAsia" w:hAnsiTheme="minorEastAsia" w:eastAsiaTheme="minorEastAsia" w:cstheme="minorEastAsia"/>
                <w:color w:val="000000"/>
                <w:kern w:val="0"/>
                <w:sz w:val="20"/>
                <w:szCs w:val="20"/>
              </w:rPr>
              <w:t>%</w:t>
            </w:r>
          </w:p>
        </w:tc>
        <w:tc>
          <w:tcPr>
            <w:tcW w:w="960" w:type="dxa"/>
            <w:shd w:val="clear" w:color="000000" w:fill="FFFFFF"/>
            <w:vAlign w:val="center"/>
          </w:tcPr>
          <w:p w14:paraId="76A262E6">
            <w:pPr>
              <w:widowControl/>
              <w:spacing w:line="0" w:lineRule="atLeast"/>
              <w:jc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eastAsiaTheme="minorEastAsia" w:cstheme="minorEastAsia"/>
                <w:color w:val="000000"/>
                <w:kern w:val="0"/>
                <w:sz w:val="20"/>
                <w:szCs w:val="20"/>
                <w:lang w:val="en-US" w:eastAsia="zh-CN"/>
              </w:rPr>
              <w:t>4</w:t>
            </w:r>
          </w:p>
        </w:tc>
      </w:tr>
      <w:tr w14:paraId="660436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2" w:hRule="atLeast"/>
          <w:jc w:val="center"/>
        </w:trPr>
        <w:tc>
          <w:tcPr>
            <w:tcW w:w="1100" w:type="dxa"/>
            <w:vMerge w:val="restart"/>
            <w:shd w:val="clear" w:color="auto" w:fill="FFFFFF"/>
            <w:vAlign w:val="center"/>
          </w:tcPr>
          <w:p w14:paraId="5CC5731D">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产出</w:t>
            </w:r>
          </w:p>
        </w:tc>
        <w:tc>
          <w:tcPr>
            <w:tcW w:w="915" w:type="dxa"/>
            <w:vMerge w:val="restart"/>
            <w:shd w:val="clear" w:color="auto" w:fill="FFFFFF"/>
            <w:vAlign w:val="center"/>
          </w:tcPr>
          <w:p w14:paraId="35E16B17">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kern w:val="0"/>
                <w:sz w:val="20"/>
                <w:szCs w:val="20"/>
              </w:rPr>
              <w:t>40分</w:t>
            </w:r>
          </w:p>
        </w:tc>
        <w:tc>
          <w:tcPr>
            <w:tcW w:w="1110" w:type="dxa"/>
            <w:shd w:val="clear" w:color="auto" w:fill="FFFFFF"/>
            <w:vAlign w:val="center"/>
          </w:tcPr>
          <w:p w14:paraId="65AE83A4">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产出数量</w:t>
            </w:r>
          </w:p>
        </w:tc>
        <w:tc>
          <w:tcPr>
            <w:tcW w:w="1635" w:type="dxa"/>
            <w:shd w:val="clear" w:color="auto" w:fill="FFFFFF"/>
            <w:vAlign w:val="center"/>
          </w:tcPr>
          <w:p w14:paraId="4974BAA0">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实际完成率</w:t>
            </w:r>
          </w:p>
        </w:tc>
        <w:tc>
          <w:tcPr>
            <w:tcW w:w="825" w:type="dxa"/>
            <w:shd w:val="clear" w:color="000000" w:fill="FFFFFF"/>
            <w:vAlign w:val="center"/>
          </w:tcPr>
          <w:p w14:paraId="4FD353E2">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10</w:t>
            </w:r>
          </w:p>
        </w:tc>
        <w:tc>
          <w:tcPr>
            <w:tcW w:w="1125" w:type="dxa"/>
            <w:shd w:val="clear" w:color="000000" w:fill="FFFFFF"/>
            <w:vAlign w:val="center"/>
          </w:tcPr>
          <w:p w14:paraId="238A1479">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100%</w:t>
            </w:r>
          </w:p>
        </w:tc>
        <w:tc>
          <w:tcPr>
            <w:tcW w:w="1069" w:type="dxa"/>
            <w:shd w:val="clear" w:color="000000" w:fill="FFFFFF"/>
            <w:vAlign w:val="center"/>
          </w:tcPr>
          <w:p w14:paraId="1377AED7">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100%</w:t>
            </w:r>
          </w:p>
        </w:tc>
        <w:tc>
          <w:tcPr>
            <w:tcW w:w="1215" w:type="dxa"/>
            <w:shd w:val="clear" w:color="000000" w:fill="FFFFFF"/>
            <w:vAlign w:val="center"/>
          </w:tcPr>
          <w:p w14:paraId="0B36DC66">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100%</w:t>
            </w:r>
          </w:p>
        </w:tc>
        <w:tc>
          <w:tcPr>
            <w:tcW w:w="960" w:type="dxa"/>
            <w:shd w:val="clear" w:color="000000" w:fill="FFFFFF"/>
            <w:vAlign w:val="center"/>
          </w:tcPr>
          <w:p w14:paraId="47958A7F">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10</w:t>
            </w:r>
          </w:p>
        </w:tc>
      </w:tr>
      <w:tr w14:paraId="539061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7" w:hRule="atLeast"/>
          <w:jc w:val="center"/>
        </w:trPr>
        <w:tc>
          <w:tcPr>
            <w:tcW w:w="1100" w:type="dxa"/>
            <w:vMerge w:val="continue"/>
            <w:shd w:val="clear" w:color="auto" w:fill="FFFFFF"/>
            <w:vAlign w:val="center"/>
          </w:tcPr>
          <w:p w14:paraId="66BE8C8E">
            <w:pPr>
              <w:widowControl/>
              <w:spacing w:line="0" w:lineRule="atLeast"/>
              <w:jc w:val="center"/>
              <w:rPr>
                <w:rFonts w:hint="eastAsia" w:asciiTheme="minorEastAsia" w:hAnsiTheme="minorEastAsia" w:eastAsiaTheme="minorEastAsia" w:cstheme="minorEastAsia"/>
                <w:color w:val="000000"/>
                <w:kern w:val="0"/>
                <w:sz w:val="20"/>
                <w:szCs w:val="20"/>
              </w:rPr>
            </w:pPr>
          </w:p>
        </w:tc>
        <w:tc>
          <w:tcPr>
            <w:tcW w:w="915" w:type="dxa"/>
            <w:vMerge w:val="continue"/>
            <w:shd w:val="clear" w:color="auto" w:fill="FFFFFF"/>
            <w:vAlign w:val="center"/>
          </w:tcPr>
          <w:p w14:paraId="25CF0CD2">
            <w:pPr>
              <w:widowControl/>
              <w:spacing w:line="0" w:lineRule="atLeast"/>
              <w:jc w:val="center"/>
              <w:rPr>
                <w:rFonts w:hint="eastAsia" w:asciiTheme="minorEastAsia" w:hAnsiTheme="minorEastAsia" w:eastAsiaTheme="minorEastAsia" w:cstheme="minorEastAsia"/>
                <w:color w:val="000000"/>
                <w:kern w:val="0"/>
                <w:sz w:val="20"/>
                <w:szCs w:val="20"/>
              </w:rPr>
            </w:pPr>
          </w:p>
        </w:tc>
        <w:tc>
          <w:tcPr>
            <w:tcW w:w="1110" w:type="dxa"/>
            <w:shd w:val="clear" w:color="auto" w:fill="FFFFFF"/>
            <w:vAlign w:val="center"/>
          </w:tcPr>
          <w:p w14:paraId="09631703">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产出质量</w:t>
            </w:r>
          </w:p>
        </w:tc>
        <w:tc>
          <w:tcPr>
            <w:tcW w:w="1635" w:type="dxa"/>
            <w:shd w:val="clear" w:color="auto" w:fill="FFFFFF"/>
            <w:vAlign w:val="center"/>
          </w:tcPr>
          <w:p w14:paraId="712B62AA">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质量达标率</w:t>
            </w:r>
          </w:p>
        </w:tc>
        <w:tc>
          <w:tcPr>
            <w:tcW w:w="825" w:type="dxa"/>
            <w:shd w:val="clear" w:color="000000" w:fill="FFFFFF"/>
            <w:vAlign w:val="center"/>
          </w:tcPr>
          <w:p w14:paraId="287D370D">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10</w:t>
            </w:r>
          </w:p>
        </w:tc>
        <w:tc>
          <w:tcPr>
            <w:tcW w:w="1125" w:type="dxa"/>
            <w:shd w:val="clear" w:color="000000" w:fill="FFFFFF"/>
            <w:vAlign w:val="center"/>
          </w:tcPr>
          <w:p w14:paraId="718CD476">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100%</w:t>
            </w:r>
          </w:p>
        </w:tc>
        <w:tc>
          <w:tcPr>
            <w:tcW w:w="1069" w:type="dxa"/>
            <w:shd w:val="clear" w:color="000000" w:fill="FFFFFF"/>
            <w:vAlign w:val="center"/>
          </w:tcPr>
          <w:p w14:paraId="4704B4A0">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100%</w:t>
            </w:r>
          </w:p>
        </w:tc>
        <w:tc>
          <w:tcPr>
            <w:tcW w:w="1215" w:type="dxa"/>
            <w:shd w:val="clear" w:color="000000" w:fill="FFFFFF"/>
            <w:vAlign w:val="center"/>
          </w:tcPr>
          <w:p w14:paraId="1B8622F2">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90%</w:t>
            </w:r>
          </w:p>
        </w:tc>
        <w:tc>
          <w:tcPr>
            <w:tcW w:w="960" w:type="dxa"/>
            <w:shd w:val="clear" w:color="000000" w:fill="FFFFFF"/>
            <w:vAlign w:val="center"/>
          </w:tcPr>
          <w:p w14:paraId="31BE0C70">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9</w:t>
            </w:r>
          </w:p>
        </w:tc>
      </w:tr>
      <w:tr w14:paraId="1D01DC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2" w:hRule="atLeast"/>
          <w:jc w:val="center"/>
        </w:trPr>
        <w:tc>
          <w:tcPr>
            <w:tcW w:w="1100" w:type="dxa"/>
            <w:vMerge w:val="continue"/>
            <w:shd w:val="clear" w:color="auto" w:fill="FFFFFF"/>
            <w:vAlign w:val="center"/>
          </w:tcPr>
          <w:p w14:paraId="79EF1426">
            <w:pPr>
              <w:spacing w:line="0" w:lineRule="atLeast"/>
              <w:jc w:val="center"/>
              <w:rPr>
                <w:rFonts w:hint="eastAsia" w:asciiTheme="minorEastAsia" w:hAnsiTheme="minorEastAsia" w:eastAsiaTheme="minorEastAsia" w:cstheme="minorEastAsia"/>
                <w:color w:val="000000"/>
                <w:kern w:val="0"/>
                <w:sz w:val="20"/>
                <w:szCs w:val="20"/>
              </w:rPr>
            </w:pPr>
          </w:p>
        </w:tc>
        <w:tc>
          <w:tcPr>
            <w:tcW w:w="915" w:type="dxa"/>
            <w:vMerge w:val="continue"/>
            <w:shd w:val="clear" w:color="auto" w:fill="FFFFFF"/>
            <w:vAlign w:val="center"/>
          </w:tcPr>
          <w:p w14:paraId="37DAA1A6">
            <w:pPr>
              <w:spacing w:line="0" w:lineRule="atLeast"/>
              <w:jc w:val="center"/>
              <w:rPr>
                <w:rFonts w:hint="eastAsia" w:asciiTheme="minorEastAsia" w:hAnsiTheme="minorEastAsia" w:eastAsiaTheme="minorEastAsia" w:cstheme="minorEastAsia"/>
                <w:color w:val="000000"/>
                <w:kern w:val="0"/>
                <w:sz w:val="20"/>
                <w:szCs w:val="20"/>
              </w:rPr>
            </w:pPr>
          </w:p>
        </w:tc>
        <w:tc>
          <w:tcPr>
            <w:tcW w:w="1110" w:type="dxa"/>
            <w:shd w:val="clear" w:color="auto" w:fill="FFFFFF"/>
            <w:vAlign w:val="center"/>
          </w:tcPr>
          <w:p w14:paraId="4F0770CC">
            <w:pPr>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产出时效</w:t>
            </w:r>
          </w:p>
        </w:tc>
        <w:tc>
          <w:tcPr>
            <w:tcW w:w="1635" w:type="dxa"/>
            <w:shd w:val="clear" w:color="auto" w:fill="FFFFFF"/>
            <w:vAlign w:val="center"/>
          </w:tcPr>
          <w:p w14:paraId="651F4F73">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完成及时性</w:t>
            </w:r>
          </w:p>
        </w:tc>
        <w:tc>
          <w:tcPr>
            <w:tcW w:w="825" w:type="dxa"/>
            <w:shd w:val="clear" w:color="000000" w:fill="FFFFFF"/>
            <w:vAlign w:val="center"/>
          </w:tcPr>
          <w:p w14:paraId="461D3E00">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10</w:t>
            </w:r>
          </w:p>
        </w:tc>
        <w:tc>
          <w:tcPr>
            <w:tcW w:w="1125" w:type="dxa"/>
            <w:shd w:val="clear" w:color="000000" w:fill="FFFFFF"/>
            <w:vAlign w:val="center"/>
          </w:tcPr>
          <w:p w14:paraId="518273CA">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及时</w:t>
            </w:r>
          </w:p>
        </w:tc>
        <w:tc>
          <w:tcPr>
            <w:tcW w:w="1069" w:type="dxa"/>
            <w:shd w:val="clear" w:color="000000" w:fill="FFFFFF"/>
            <w:vAlign w:val="center"/>
          </w:tcPr>
          <w:p w14:paraId="7A25075E">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及时</w:t>
            </w:r>
          </w:p>
        </w:tc>
        <w:tc>
          <w:tcPr>
            <w:tcW w:w="1215" w:type="dxa"/>
            <w:shd w:val="clear" w:color="000000" w:fill="FFFFFF"/>
            <w:vAlign w:val="center"/>
          </w:tcPr>
          <w:p w14:paraId="597712F5">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90%</w:t>
            </w:r>
          </w:p>
        </w:tc>
        <w:tc>
          <w:tcPr>
            <w:tcW w:w="960" w:type="dxa"/>
            <w:shd w:val="clear" w:color="000000" w:fill="FFFFFF"/>
            <w:vAlign w:val="center"/>
          </w:tcPr>
          <w:p w14:paraId="58455D6B">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9</w:t>
            </w:r>
          </w:p>
        </w:tc>
      </w:tr>
      <w:tr w14:paraId="20BEAC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1100" w:type="dxa"/>
            <w:vMerge w:val="continue"/>
            <w:shd w:val="clear" w:color="auto" w:fill="FFFFFF"/>
            <w:vAlign w:val="center"/>
          </w:tcPr>
          <w:p w14:paraId="7B1C5CE9">
            <w:pPr>
              <w:widowControl/>
              <w:spacing w:line="0" w:lineRule="atLeast"/>
              <w:jc w:val="center"/>
              <w:rPr>
                <w:rFonts w:hint="eastAsia" w:asciiTheme="minorEastAsia" w:hAnsiTheme="minorEastAsia" w:eastAsiaTheme="minorEastAsia" w:cstheme="minorEastAsia"/>
                <w:color w:val="000000"/>
                <w:kern w:val="0"/>
                <w:sz w:val="20"/>
                <w:szCs w:val="20"/>
              </w:rPr>
            </w:pPr>
          </w:p>
        </w:tc>
        <w:tc>
          <w:tcPr>
            <w:tcW w:w="915" w:type="dxa"/>
            <w:vMerge w:val="continue"/>
            <w:shd w:val="clear" w:color="auto" w:fill="FFFFFF"/>
            <w:vAlign w:val="center"/>
          </w:tcPr>
          <w:p w14:paraId="126E51B5">
            <w:pPr>
              <w:widowControl/>
              <w:spacing w:line="0" w:lineRule="atLeast"/>
              <w:jc w:val="center"/>
              <w:rPr>
                <w:rFonts w:hint="eastAsia" w:asciiTheme="minorEastAsia" w:hAnsiTheme="minorEastAsia" w:eastAsiaTheme="minorEastAsia" w:cstheme="minorEastAsia"/>
                <w:color w:val="000000"/>
                <w:kern w:val="0"/>
                <w:sz w:val="20"/>
                <w:szCs w:val="20"/>
              </w:rPr>
            </w:pPr>
          </w:p>
        </w:tc>
        <w:tc>
          <w:tcPr>
            <w:tcW w:w="1110" w:type="dxa"/>
            <w:shd w:val="clear" w:color="auto" w:fill="FFFFFF"/>
            <w:vAlign w:val="center"/>
          </w:tcPr>
          <w:p w14:paraId="25BD2093">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产出成本</w:t>
            </w:r>
          </w:p>
        </w:tc>
        <w:tc>
          <w:tcPr>
            <w:tcW w:w="1635" w:type="dxa"/>
            <w:shd w:val="clear" w:color="auto" w:fill="FFFFFF"/>
            <w:vAlign w:val="center"/>
          </w:tcPr>
          <w:p w14:paraId="5657E50E">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成本节约率</w:t>
            </w:r>
          </w:p>
        </w:tc>
        <w:tc>
          <w:tcPr>
            <w:tcW w:w="825" w:type="dxa"/>
            <w:shd w:val="clear" w:color="000000" w:fill="FFFFFF"/>
            <w:vAlign w:val="center"/>
          </w:tcPr>
          <w:p w14:paraId="525E52CA">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10</w:t>
            </w:r>
          </w:p>
        </w:tc>
        <w:tc>
          <w:tcPr>
            <w:tcW w:w="1125" w:type="dxa"/>
            <w:shd w:val="clear" w:color="000000" w:fill="FFFFFF"/>
            <w:vAlign w:val="center"/>
          </w:tcPr>
          <w:p w14:paraId="3BC0AA27">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100%</w:t>
            </w:r>
          </w:p>
        </w:tc>
        <w:tc>
          <w:tcPr>
            <w:tcW w:w="1069" w:type="dxa"/>
            <w:shd w:val="clear" w:color="000000" w:fill="FFFFFF"/>
            <w:vAlign w:val="center"/>
          </w:tcPr>
          <w:p w14:paraId="377D8820">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100%</w:t>
            </w:r>
          </w:p>
        </w:tc>
        <w:tc>
          <w:tcPr>
            <w:tcW w:w="1215" w:type="dxa"/>
            <w:shd w:val="clear" w:color="000000" w:fill="FFFFFF"/>
            <w:vAlign w:val="center"/>
          </w:tcPr>
          <w:p w14:paraId="45306143">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100%</w:t>
            </w:r>
          </w:p>
        </w:tc>
        <w:tc>
          <w:tcPr>
            <w:tcW w:w="960" w:type="dxa"/>
            <w:shd w:val="clear" w:color="000000" w:fill="FFFFFF"/>
            <w:vAlign w:val="center"/>
          </w:tcPr>
          <w:p w14:paraId="0F39AC58">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10</w:t>
            </w:r>
          </w:p>
        </w:tc>
      </w:tr>
      <w:tr w14:paraId="36254C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1100" w:type="dxa"/>
            <w:vMerge w:val="restart"/>
            <w:shd w:val="clear" w:color="auto" w:fill="FFFFFF"/>
            <w:vAlign w:val="center"/>
          </w:tcPr>
          <w:p w14:paraId="309F7619">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效益　</w:t>
            </w:r>
          </w:p>
        </w:tc>
        <w:tc>
          <w:tcPr>
            <w:tcW w:w="915" w:type="dxa"/>
            <w:vMerge w:val="restart"/>
            <w:shd w:val="clear" w:color="auto" w:fill="FFFFFF"/>
            <w:vAlign w:val="center"/>
          </w:tcPr>
          <w:p w14:paraId="490AB05D">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20分</w:t>
            </w:r>
          </w:p>
        </w:tc>
        <w:tc>
          <w:tcPr>
            <w:tcW w:w="1110" w:type="dxa"/>
            <w:vMerge w:val="restart"/>
            <w:shd w:val="clear" w:color="auto" w:fill="FFFFFF"/>
            <w:vAlign w:val="center"/>
          </w:tcPr>
          <w:p w14:paraId="738095A5">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项目效益　</w:t>
            </w:r>
          </w:p>
        </w:tc>
        <w:tc>
          <w:tcPr>
            <w:tcW w:w="1635" w:type="dxa"/>
            <w:shd w:val="clear" w:color="auto" w:fill="FFFFFF"/>
            <w:vAlign w:val="center"/>
          </w:tcPr>
          <w:p w14:paraId="00C0F93D">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实施效益</w:t>
            </w:r>
          </w:p>
          <w:p w14:paraId="1B1266FA">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（社会效益、经济效益、可持续效益）</w:t>
            </w:r>
          </w:p>
        </w:tc>
        <w:tc>
          <w:tcPr>
            <w:tcW w:w="825" w:type="dxa"/>
            <w:shd w:val="clear" w:color="auto" w:fill="FFFFFF"/>
            <w:vAlign w:val="center"/>
          </w:tcPr>
          <w:p w14:paraId="38E05E56">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15</w:t>
            </w:r>
          </w:p>
        </w:tc>
        <w:tc>
          <w:tcPr>
            <w:tcW w:w="1125" w:type="dxa"/>
            <w:shd w:val="clear" w:color="auto" w:fill="FFFFFF"/>
            <w:vAlign w:val="center"/>
          </w:tcPr>
          <w:p w14:paraId="5A27EE95">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有效</w:t>
            </w:r>
          </w:p>
        </w:tc>
        <w:tc>
          <w:tcPr>
            <w:tcW w:w="1069" w:type="dxa"/>
            <w:shd w:val="clear" w:color="auto" w:fill="FFFFFF"/>
            <w:vAlign w:val="center"/>
          </w:tcPr>
          <w:p w14:paraId="3A543ED0">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有效</w:t>
            </w:r>
          </w:p>
        </w:tc>
        <w:tc>
          <w:tcPr>
            <w:tcW w:w="1215" w:type="dxa"/>
            <w:shd w:val="clear" w:color="auto" w:fill="FFFFFF"/>
            <w:vAlign w:val="center"/>
          </w:tcPr>
          <w:p w14:paraId="08583203">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100%</w:t>
            </w:r>
          </w:p>
        </w:tc>
        <w:tc>
          <w:tcPr>
            <w:tcW w:w="960" w:type="dxa"/>
            <w:shd w:val="clear" w:color="auto" w:fill="FFFFFF"/>
            <w:vAlign w:val="center"/>
          </w:tcPr>
          <w:p w14:paraId="4556C1F5">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15</w:t>
            </w:r>
          </w:p>
        </w:tc>
      </w:tr>
      <w:tr w14:paraId="051C93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1100" w:type="dxa"/>
            <w:vMerge w:val="continue"/>
            <w:shd w:val="clear" w:color="auto" w:fill="FFFFFF"/>
            <w:vAlign w:val="center"/>
          </w:tcPr>
          <w:p w14:paraId="0BA4BD79">
            <w:pPr>
              <w:widowControl/>
              <w:spacing w:line="0" w:lineRule="atLeast"/>
              <w:jc w:val="center"/>
              <w:rPr>
                <w:rFonts w:hint="eastAsia" w:asciiTheme="minorEastAsia" w:hAnsiTheme="minorEastAsia" w:eastAsiaTheme="minorEastAsia" w:cstheme="minorEastAsia"/>
                <w:color w:val="000000"/>
                <w:kern w:val="0"/>
                <w:sz w:val="20"/>
                <w:szCs w:val="20"/>
              </w:rPr>
            </w:pPr>
          </w:p>
        </w:tc>
        <w:tc>
          <w:tcPr>
            <w:tcW w:w="915" w:type="dxa"/>
            <w:vMerge w:val="continue"/>
            <w:shd w:val="clear" w:color="auto" w:fill="FFFFFF"/>
            <w:vAlign w:val="center"/>
          </w:tcPr>
          <w:p w14:paraId="62B7A2D6">
            <w:pPr>
              <w:widowControl/>
              <w:spacing w:line="0" w:lineRule="atLeast"/>
              <w:jc w:val="center"/>
              <w:rPr>
                <w:rFonts w:hint="eastAsia" w:asciiTheme="minorEastAsia" w:hAnsiTheme="minorEastAsia" w:eastAsiaTheme="minorEastAsia" w:cstheme="minorEastAsia"/>
                <w:color w:val="000000"/>
                <w:kern w:val="0"/>
                <w:sz w:val="20"/>
                <w:szCs w:val="20"/>
              </w:rPr>
            </w:pPr>
          </w:p>
        </w:tc>
        <w:tc>
          <w:tcPr>
            <w:tcW w:w="1110" w:type="dxa"/>
            <w:vMerge w:val="continue"/>
            <w:shd w:val="clear" w:color="auto" w:fill="FFFFFF"/>
            <w:vAlign w:val="center"/>
          </w:tcPr>
          <w:p w14:paraId="67E6ECA5">
            <w:pPr>
              <w:widowControl/>
              <w:spacing w:line="0" w:lineRule="atLeast"/>
              <w:jc w:val="center"/>
              <w:rPr>
                <w:rFonts w:hint="eastAsia" w:asciiTheme="minorEastAsia" w:hAnsiTheme="minorEastAsia" w:eastAsiaTheme="minorEastAsia" w:cstheme="minorEastAsia"/>
                <w:color w:val="000000"/>
                <w:kern w:val="0"/>
                <w:sz w:val="20"/>
                <w:szCs w:val="20"/>
              </w:rPr>
            </w:pPr>
          </w:p>
        </w:tc>
        <w:tc>
          <w:tcPr>
            <w:tcW w:w="1635" w:type="dxa"/>
            <w:shd w:val="clear" w:color="auto" w:fill="FFFFFF"/>
            <w:vAlign w:val="center"/>
          </w:tcPr>
          <w:p w14:paraId="6E4F6A3A">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满意度</w:t>
            </w:r>
          </w:p>
        </w:tc>
        <w:tc>
          <w:tcPr>
            <w:tcW w:w="825" w:type="dxa"/>
            <w:shd w:val="clear" w:color="000000" w:fill="FFFFFF"/>
            <w:vAlign w:val="center"/>
          </w:tcPr>
          <w:p w14:paraId="22D019C7">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5</w:t>
            </w:r>
          </w:p>
        </w:tc>
        <w:tc>
          <w:tcPr>
            <w:tcW w:w="1125" w:type="dxa"/>
            <w:shd w:val="clear" w:color="000000" w:fill="FFFFFF"/>
            <w:vAlign w:val="center"/>
          </w:tcPr>
          <w:p w14:paraId="6FC3AD17">
            <w:pPr>
              <w:widowControl/>
              <w:spacing w:line="0" w:lineRule="atLeast"/>
              <w:jc w:val="center"/>
              <w:rPr>
                <w:rFonts w:hint="eastAsia" w:asciiTheme="minorEastAsia" w:hAnsiTheme="minorEastAsia" w:eastAsiaTheme="minorEastAsia" w:cstheme="minorEastAsia"/>
                <w:color w:val="000000"/>
                <w:kern w:val="0"/>
                <w:sz w:val="20"/>
                <w:szCs w:val="20"/>
                <w:highlight w:val="yellow"/>
              </w:rPr>
            </w:pPr>
            <w:r>
              <w:rPr>
                <w:rFonts w:hint="eastAsia" w:asciiTheme="minorEastAsia" w:hAnsiTheme="minorEastAsia" w:eastAsiaTheme="minorEastAsia" w:cstheme="minorEastAsia"/>
                <w:color w:val="000000"/>
                <w:kern w:val="0"/>
                <w:sz w:val="20"/>
                <w:szCs w:val="20"/>
              </w:rPr>
              <w:t>≥85%</w:t>
            </w:r>
          </w:p>
        </w:tc>
        <w:tc>
          <w:tcPr>
            <w:tcW w:w="1069" w:type="dxa"/>
            <w:shd w:val="clear" w:color="000000" w:fill="FFFFFF"/>
            <w:vAlign w:val="center"/>
          </w:tcPr>
          <w:p w14:paraId="57F367DA">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90%</w:t>
            </w:r>
          </w:p>
        </w:tc>
        <w:tc>
          <w:tcPr>
            <w:tcW w:w="1215" w:type="dxa"/>
            <w:shd w:val="clear" w:color="000000" w:fill="FFFFFF"/>
            <w:vAlign w:val="center"/>
          </w:tcPr>
          <w:p w14:paraId="49939D6E">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100%</w:t>
            </w:r>
          </w:p>
        </w:tc>
        <w:tc>
          <w:tcPr>
            <w:tcW w:w="960" w:type="dxa"/>
            <w:shd w:val="clear" w:color="000000" w:fill="FFFFFF"/>
            <w:vAlign w:val="center"/>
          </w:tcPr>
          <w:p w14:paraId="2191418D">
            <w:pPr>
              <w:widowControl/>
              <w:spacing w:line="0" w:lineRule="atLeast"/>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5</w:t>
            </w:r>
          </w:p>
        </w:tc>
      </w:tr>
    </w:tbl>
    <w:p w14:paraId="6B206531">
      <w:pPr>
        <w:keepNext w:val="0"/>
        <w:keepLines w:val="0"/>
        <w:pageBreakBefore w:val="0"/>
        <w:kinsoku/>
        <w:wordWrap/>
        <w:overflowPunct/>
        <w:topLinePunct w:val="0"/>
        <w:autoSpaceDE/>
        <w:autoSpaceDN/>
        <w:bidi w:val="0"/>
        <w:adjustRightInd/>
        <w:snapToGrid/>
        <w:spacing w:line="540" w:lineRule="exact"/>
        <w:ind w:firstLine="320" w:firstLineChars="100"/>
        <w:textAlignment w:val="auto"/>
        <w:rPr>
          <w:rFonts w:eastAsia="黑体"/>
          <w:sz w:val="32"/>
          <w:szCs w:val="32"/>
        </w:rPr>
      </w:pPr>
      <w:r>
        <w:rPr>
          <w:rFonts w:eastAsia="黑体"/>
          <w:sz w:val="32"/>
          <w:szCs w:val="32"/>
        </w:rPr>
        <w:t>四、绩效评价指标分析</w:t>
      </w:r>
    </w:p>
    <w:p w14:paraId="7E18BEAD">
      <w:pPr>
        <w:pStyle w:val="2"/>
        <w:keepNext w:val="0"/>
        <w:keepLines w:val="0"/>
        <w:pageBreakBefore w:val="0"/>
        <w:kinsoku/>
        <w:wordWrap/>
        <w:overflowPunct/>
        <w:topLinePunct w:val="0"/>
        <w:autoSpaceDE/>
        <w:autoSpaceDN/>
        <w:bidi w:val="0"/>
        <w:adjustRightInd/>
        <w:snapToGrid/>
        <w:spacing w:before="0" w:after="0" w:line="540" w:lineRule="exact"/>
        <w:ind w:firstLine="321" w:firstLineChars="100"/>
        <w:jc w:val="both"/>
        <w:textAlignment w:val="auto"/>
        <w:rPr>
          <w:rFonts w:ascii="Times New Roman" w:hAnsi="Times New Roman" w:eastAsia="楷体_GB2312"/>
        </w:rPr>
      </w:pPr>
      <w:r>
        <w:rPr>
          <w:rFonts w:ascii="Times New Roman" w:hAnsi="Times New Roman" w:eastAsia="楷体_GB2312"/>
        </w:rPr>
        <w:t>（一）项目决策情况</w:t>
      </w:r>
    </w:p>
    <w:p w14:paraId="7F570C30">
      <w:pPr>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项目决策类指标包括项目立项、绩效目标和资金投入三方面的内容，由6个三级指标构成，权重分值为20分，实际得分20分，得分率为100%。</w:t>
      </w:r>
    </w:p>
    <w:p w14:paraId="29006BD2">
      <w:pPr>
        <w:pStyle w:val="53"/>
        <w:keepNext w:val="0"/>
        <w:keepLines w:val="0"/>
        <w:pageBreakBefore w:val="0"/>
        <w:widowControl w:val="0"/>
        <w:shd w:val="clear"/>
        <w:kinsoku/>
        <w:wordWrap/>
        <w:overflowPunct/>
        <w:topLinePunct w:val="0"/>
        <w:autoSpaceDE/>
        <w:autoSpaceDN/>
        <w:bidi w:val="0"/>
        <w:adjustRightInd/>
        <w:snapToGrid/>
        <w:spacing w:line="540" w:lineRule="exact"/>
        <w:ind w:left="0" w:leftChars="0" w:firstLine="64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1.项目立项</w:t>
      </w:r>
    </w:p>
    <w:p w14:paraId="026302CE">
      <w:pPr>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（1）立项依据充分性</w:t>
      </w:r>
    </w:p>
    <w:p w14:paraId="63FC03DE">
      <w:pPr>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项目立项符合国家相关法律法规及发展政策，符合行业规划要求，围绕本年度工作重点和工作计划制定经费预算，属于公共财政支持范围。本项目与部门内部其他相关项目不重复。部门发展规划及职能文件等归档完整。</w:t>
      </w:r>
    </w:p>
    <w:p w14:paraId="219BFD69">
      <w:pPr>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（2）立项程序规范性</w:t>
      </w:r>
    </w:p>
    <w:p w14:paraId="79BE50F7">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0"/>
        <w:rPr>
          <w:rFonts w:hint="eastAsia" w:ascii="Times New Roman" w:hAnsi="Times New Roman" w:eastAsia="楷体_GB2312"/>
        </w:rPr>
      </w:pPr>
      <w:r>
        <w:rPr>
          <w:rFonts w:hint="eastAsia" w:ascii="仿宋_GB2312" w:hAnsi="仿宋_GB2312" w:eastAsia="仿宋_GB2312" w:cs="仿宋_GB2312"/>
          <w:sz w:val="32"/>
          <w:szCs w:val="32"/>
        </w:rPr>
        <w:t>项目申请、设立过程符合相关要求，</w:t>
      </w:r>
      <w:r>
        <w:rPr>
          <w:rFonts w:hint="eastAsia" w:ascii="仿宋_GB2312" w:hAnsi="仿宋_GB2312" w:eastAsia="仿宋_GB2312" w:cs="仿宋_GB2312"/>
          <w:sz w:val="32"/>
          <w:szCs w:val="32"/>
          <w:lang w:eastAsia="zh-Hans"/>
        </w:rPr>
        <w:t>严格按照审批流程准备符合要求的文件、材料；</w:t>
      </w:r>
      <w:r>
        <w:rPr>
          <w:rFonts w:hint="eastAsia" w:ascii="仿宋_GB2312" w:hAnsi="仿宋_GB2312" w:eastAsia="仿宋_GB2312" w:cs="仿宋_GB2312"/>
          <w:sz w:val="32"/>
          <w:szCs w:val="32"/>
          <w:lang w:val="en-US" w:eastAsia="zh-CN"/>
        </w:rPr>
        <w:t>根据决算依据编制工作计划和经费预算，经过与部门项目分管领导沟通、筛选确定经费预算计划，确定最终预算方案。项目的审批文件、材料符合相关要求，项目事前经过必要的可行性研究、专家论证、风险评估、绩效评估、集体决策，保障了程序的规范性</w:t>
      </w:r>
      <w:r>
        <w:rPr>
          <w:rFonts w:hint="eastAsia" w:ascii="仿宋_GB2312" w:hAnsi="仿宋_GB2312" w:eastAsia="仿宋_GB2312" w:cs="仿宋_GB2312"/>
          <w:sz w:val="32"/>
          <w:szCs w:val="32"/>
        </w:rPr>
        <w:t>。</w:t>
      </w:r>
    </w:p>
    <w:p w14:paraId="4C71211F">
      <w:pPr>
        <w:pStyle w:val="2"/>
        <w:keepNext w:val="0"/>
        <w:keepLines w:val="0"/>
        <w:pageBreakBefore w:val="0"/>
        <w:kinsoku/>
        <w:wordWrap/>
        <w:overflowPunct/>
        <w:topLinePunct w:val="0"/>
        <w:autoSpaceDE/>
        <w:autoSpaceDN/>
        <w:bidi w:val="0"/>
        <w:adjustRightInd/>
        <w:snapToGrid/>
        <w:spacing w:before="0" w:after="0" w:line="540" w:lineRule="exact"/>
        <w:ind w:firstLine="643" w:firstLineChars="200"/>
        <w:jc w:val="both"/>
        <w:textAlignment w:val="auto"/>
        <w:rPr>
          <w:rFonts w:ascii="Times New Roman" w:hAnsi="Times New Roman" w:eastAsia="楷体_GB2312"/>
        </w:rPr>
      </w:pPr>
      <w:r>
        <w:rPr>
          <w:rFonts w:hint="eastAsia" w:ascii="Times New Roman" w:hAnsi="Times New Roman" w:eastAsia="楷体_GB2312"/>
        </w:rPr>
        <w:t>（二）</w:t>
      </w:r>
      <w:r>
        <w:rPr>
          <w:rFonts w:ascii="Times New Roman" w:hAnsi="Times New Roman" w:eastAsia="楷体_GB2312"/>
        </w:rPr>
        <w:t>项目过程情况</w:t>
      </w:r>
    </w:p>
    <w:p w14:paraId="23844914">
      <w:pPr>
        <w:pStyle w:val="53"/>
        <w:keepNext w:val="0"/>
        <w:keepLines w:val="0"/>
        <w:pageBreakBefore w:val="0"/>
        <w:widowControl w:val="0"/>
        <w:shd w:val="clear"/>
        <w:kinsoku/>
        <w:wordWrap/>
        <w:overflowPunct/>
        <w:topLinePunct w:val="0"/>
        <w:autoSpaceDE/>
        <w:autoSpaceDN/>
        <w:bidi w:val="0"/>
        <w:adjustRightInd/>
        <w:snapToGrid/>
        <w:spacing w:line="540" w:lineRule="exact"/>
        <w:ind w:firstLine="948" w:firstLineChars="295"/>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2.绩效目标</w:t>
      </w:r>
    </w:p>
    <w:p w14:paraId="71A6C326">
      <w:pPr>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（1）绩效目标合理性</w:t>
      </w:r>
    </w:p>
    <w:p w14:paraId="0C75549F">
      <w:pPr>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Hans"/>
        </w:rPr>
        <w:t>年初结合实际工作内容</w:t>
      </w:r>
      <w:r>
        <w:rPr>
          <w:rFonts w:hint="eastAsia" w:ascii="仿宋_GB2312" w:hAnsi="仿宋_GB2312" w:eastAsia="仿宋_GB2312" w:cs="仿宋_GB2312"/>
          <w:sz w:val="32"/>
          <w:szCs w:val="32"/>
          <w:lang w:val="en-US" w:eastAsia="zh-CN"/>
        </w:rPr>
        <w:t>设定绩效目标</w:t>
      </w:r>
      <w:r>
        <w:rPr>
          <w:rFonts w:hint="eastAsia" w:ascii="仿宋_GB2312" w:hAnsi="仿宋_GB2312" w:eastAsia="仿宋_GB2312" w:cs="仿宋_GB2312"/>
          <w:sz w:val="32"/>
          <w:szCs w:val="32"/>
          <w:lang w:val="en-US" w:eastAsia="zh-Hans"/>
        </w:rPr>
        <w:t>，绩效目标</w:t>
      </w:r>
      <w:r>
        <w:rPr>
          <w:rFonts w:hint="eastAsia" w:ascii="仿宋_GB2312" w:hAnsi="仿宋_GB2312" w:eastAsia="仿宋_GB2312" w:cs="仿宋_GB2312"/>
          <w:sz w:val="32"/>
          <w:szCs w:val="32"/>
          <w:lang w:val="en-US" w:eastAsia="zh-CN"/>
        </w:rPr>
        <w:t>依据充分，符合客观实际，能反映和考核项目绩效目标与项目实施的相符情况，依据绩效目标设定的绩效指标清晰、细化、可衡量，能反映和考核项目绩效目标的明细化情况。绩效目标表经过审核，绩效目标与实际工作内容具有相关性，预算与确定的项目投资额相匹配，对项目任务进行了详细分解。项目预期产出效益及效果符合正常的业绩水平。</w:t>
      </w:r>
    </w:p>
    <w:p w14:paraId="47B8D325">
      <w:pPr>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（2）绩效指标明确性</w:t>
      </w:r>
    </w:p>
    <w:p w14:paraId="04371F78">
      <w:pPr>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项目设置了明确的预期产出效益和效果，将绩效目标细化分解为具体的绩效指标，绩效目标与项目目标任务数相对应，绩效目标设定的绩效指标清晰、细化、可衡量。</w:t>
      </w:r>
    </w:p>
    <w:p w14:paraId="268EAD01">
      <w:pPr>
        <w:pStyle w:val="53"/>
        <w:keepNext w:val="0"/>
        <w:keepLines w:val="0"/>
        <w:pageBreakBefore w:val="0"/>
        <w:widowControl w:val="0"/>
        <w:shd w:val="clear"/>
        <w:kinsoku/>
        <w:wordWrap/>
        <w:overflowPunct/>
        <w:topLinePunct w:val="0"/>
        <w:autoSpaceDE/>
        <w:autoSpaceDN/>
        <w:bidi w:val="0"/>
        <w:adjustRightInd/>
        <w:snapToGrid/>
        <w:spacing w:line="540" w:lineRule="exact"/>
        <w:ind w:firstLine="948" w:firstLineChars="295"/>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3.资金投入</w:t>
      </w:r>
    </w:p>
    <w:p w14:paraId="46C70FD0">
      <w:pPr>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（1）预算编制科学性</w:t>
      </w:r>
    </w:p>
    <w:p w14:paraId="2F2B439E">
      <w:pPr>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预算编制经过科学论证，提供充分的测算依据佐证资料，预算内容与项目内容相匹配。项目投资额与工作任务相匹配。</w:t>
      </w:r>
    </w:p>
    <w:p w14:paraId="12612951">
      <w:pPr>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（2）资金分配合理性</w:t>
      </w:r>
    </w:p>
    <w:p w14:paraId="05593DAC">
      <w:pPr>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资金分配额度与项目单位实际工作内容相适应，资金分配额度合理，资金分配依据充分。</w:t>
      </w:r>
    </w:p>
    <w:p w14:paraId="793B0C23">
      <w:pPr>
        <w:pStyle w:val="2"/>
        <w:keepNext w:val="0"/>
        <w:keepLines w:val="0"/>
        <w:pageBreakBefore w:val="0"/>
        <w:numPr>
          <w:ilvl w:val="0"/>
          <w:numId w:val="0"/>
        </w:numPr>
        <w:kinsoku/>
        <w:wordWrap/>
        <w:overflowPunct/>
        <w:topLinePunct w:val="0"/>
        <w:autoSpaceDE/>
        <w:autoSpaceDN/>
        <w:bidi w:val="0"/>
        <w:adjustRightInd/>
        <w:snapToGrid/>
        <w:spacing w:before="0" w:after="0" w:line="540" w:lineRule="exact"/>
        <w:ind w:firstLine="643" w:firstLineChars="200"/>
        <w:jc w:val="both"/>
        <w:textAlignment w:val="auto"/>
        <w:rPr>
          <w:rFonts w:ascii="楷体" w:hAnsi="楷体" w:eastAsia="楷体" w:cs="楷体"/>
        </w:rPr>
      </w:pPr>
      <w:r>
        <w:rPr>
          <w:rFonts w:hint="eastAsia" w:ascii="楷体" w:hAnsi="楷体" w:eastAsia="楷体" w:cs="楷体"/>
          <w:lang w:eastAsia="zh-CN"/>
        </w:rPr>
        <w:t>（</w:t>
      </w:r>
      <w:r>
        <w:rPr>
          <w:rFonts w:hint="eastAsia" w:ascii="楷体" w:hAnsi="楷体" w:eastAsia="楷体" w:cs="楷体"/>
          <w:lang w:val="en-US" w:eastAsia="zh-CN"/>
        </w:rPr>
        <w:t>二</w:t>
      </w:r>
      <w:r>
        <w:rPr>
          <w:rFonts w:hint="eastAsia" w:ascii="楷体" w:hAnsi="楷体" w:eastAsia="楷体" w:cs="楷体"/>
          <w:lang w:eastAsia="zh-CN"/>
        </w:rPr>
        <w:t>）</w:t>
      </w:r>
      <w:r>
        <w:rPr>
          <w:rFonts w:hint="eastAsia" w:ascii="楷体" w:hAnsi="楷体" w:eastAsia="楷体" w:cs="楷体"/>
        </w:rPr>
        <w:t>项目过程情况</w:t>
      </w:r>
    </w:p>
    <w:p w14:paraId="32C1A563">
      <w:pPr>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项目过程类指标包括资金管理和组织实施两方面的内容，由</w:t>
      </w:r>
      <w:r>
        <w:rPr>
          <w:rFonts w:hint="eastAsia" w:ascii="仿宋_GB2312" w:hAnsi="仿宋_GB2312" w:eastAsia="仿宋_GB2312" w:cs="仿宋_GB2312"/>
          <w:sz w:val="32"/>
          <w:szCs w:val="32"/>
          <w:highlight w:val="none"/>
          <w:lang w:val="en-US" w:eastAsia="zh-CN"/>
        </w:rPr>
        <w:t>5个</w:t>
      </w:r>
      <w:r>
        <w:rPr>
          <w:rFonts w:hint="eastAsia" w:ascii="仿宋_GB2312" w:hAnsi="仿宋_GB2312" w:eastAsia="仿宋_GB2312" w:cs="仿宋_GB2312"/>
          <w:sz w:val="32"/>
          <w:szCs w:val="32"/>
          <w:lang w:val="en-US" w:eastAsia="zh-CN"/>
        </w:rPr>
        <w:t>三级指标构成，权重分值</w:t>
      </w:r>
      <w:r>
        <w:rPr>
          <w:rFonts w:hint="eastAsia" w:ascii="仿宋_GB2312" w:hAnsi="仿宋_GB2312" w:eastAsia="仿宋_GB2312" w:cs="仿宋_GB2312"/>
          <w:sz w:val="32"/>
          <w:szCs w:val="32"/>
          <w:highlight w:val="none"/>
          <w:lang w:val="en-US" w:eastAsia="zh-CN"/>
        </w:rPr>
        <w:t>为20分，实际得分19.12分，得分率为95.6%。</w:t>
      </w:r>
    </w:p>
    <w:p w14:paraId="1434E04A">
      <w:pPr>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项目资金使用符合相关的财务管理制度规定，能够反映和考核项目资金的规范运行情况；项目实施单位的财务和业务管理制度健全，能够反映和考核财务和业务管理制度对项目顺利实施的保障情况。</w:t>
      </w:r>
    </w:p>
    <w:p w14:paraId="06E9FA26">
      <w:pPr>
        <w:pStyle w:val="53"/>
        <w:keepNext w:val="0"/>
        <w:keepLines w:val="0"/>
        <w:pageBreakBefore w:val="0"/>
        <w:widowControl w:val="0"/>
        <w:shd w:val="clear"/>
        <w:kinsoku/>
        <w:wordWrap/>
        <w:overflowPunct/>
        <w:topLinePunct w:val="0"/>
        <w:autoSpaceDE/>
        <w:autoSpaceDN/>
        <w:bidi w:val="0"/>
        <w:adjustRightInd/>
        <w:snapToGrid/>
        <w:spacing w:line="540" w:lineRule="exact"/>
        <w:ind w:left="0" w:leftChars="0" w:firstLine="64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1.资金管理</w:t>
      </w:r>
    </w:p>
    <w:p w14:paraId="3D629741">
      <w:pPr>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（1）资金到位率</w:t>
      </w:r>
    </w:p>
    <w:p w14:paraId="36E6D36B">
      <w:pPr>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本项目总投资1497万元，财政资金及时足额到位，到位率100%，预算资金按计划进度执行。</w:t>
      </w:r>
    </w:p>
    <w:p w14:paraId="3C09A125">
      <w:pPr>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（2）预算执行率</w:t>
      </w:r>
    </w:p>
    <w:p w14:paraId="0062AAAE">
      <w:pPr>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预算编制较为详细，项目资金支出总体能够按照预算执行，预算资金支出</w:t>
      </w:r>
      <w:r>
        <w:rPr>
          <w:rFonts w:hint="eastAsia" w:ascii="仿宋_GB2312" w:hAnsi="仿宋_GB2312" w:eastAsia="仿宋_GB2312" w:cs="仿宋_GB2312"/>
          <w:sz w:val="32"/>
          <w:szCs w:val="32"/>
          <w:highlight w:val="none"/>
        </w:rPr>
        <w:t>1364.81万元，预算执行率为</w:t>
      </w:r>
      <w:r>
        <w:rPr>
          <w:rFonts w:hint="eastAsia" w:ascii="仿宋_GB2312" w:hAnsi="仿宋_GB2312" w:eastAsia="仿宋_GB2312" w:cs="仿宋_GB2312"/>
          <w:sz w:val="32"/>
          <w:szCs w:val="32"/>
          <w:highlight w:val="none"/>
          <w:lang w:val="en-US" w:eastAsia="zh-CN"/>
        </w:rPr>
        <w:t>78.03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w:t>
      </w:r>
    </w:p>
    <w:p w14:paraId="5953CB50">
      <w:pPr>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（3）资金使用合规性</w:t>
      </w:r>
    </w:p>
    <w:p w14:paraId="20B95C7D">
      <w:pPr>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项目严格按照预</w:t>
      </w:r>
      <w:r>
        <w:rPr>
          <w:rFonts w:hint="eastAsia" w:ascii="仿宋_GB2312" w:hAnsi="仿宋_GB2312" w:eastAsia="仿宋_GB2312" w:cs="仿宋_GB2312"/>
          <w:sz w:val="32"/>
          <w:szCs w:val="32"/>
          <w:lang w:val="en-US" w:eastAsia="zh-CN"/>
        </w:rPr>
        <w:t>期绩效目标执行预算资金。制定了相关的制度和管理规定，对项目经费使用进行规范管理，财务制度健全、执行严格。资金的拨付有完整的审批程序和手续，在项目资金拨付和使用过程中，为确保项目资金的安全性，提高项目资金使用效率，严格遵循项目资金的拨付程序，认真审核项目实施各阶段的相关材料和手续，根据项目实施进展情况拨付资金。资金使用符合该项目的立项批复。资金不存在截留、挤占、挪用、虚列支出等情况。</w:t>
      </w:r>
    </w:p>
    <w:p w14:paraId="47AB30F6">
      <w:pPr>
        <w:pStyle w:val="53"/>
        <w:keepNext w:val="0"/>
        <w:keepLines w:val="0"/>
        <w:pageBreakBefore w:val="0"/>
        <w:widowControl w:val="0"/>
        <w:shd w:val="clear"/>
        <w:kinsoku/>
        <w:wordWrap/>
        <w:overflowPunct/>
        <w:topLinePunct w:val="0"/>
        <w:autoSpaceDE/>
        <w:autoSpaceDN/>
        <w:bidi w:val="0"/>
        <w:adjustRightInd/>
        <w:snapToGrid/>
        <w:spacing w:line="540" w:lineRule="exact"/>
        <w:ind w:left="0" w:leftChars="0" w:firstLine="64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2.组织实施</w:t>
      </w:r>
    </w:p>
    <w:p w14:paraId="688AD3EA">
      <w:pPr>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（1）管理制度健全性</w:t>
      </w:r>
    </w:p>
    <w:p w14:paraId="22BF2F24">
      <w:pPr>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制定了相关管理办法，对财政资金进行严格管理，做到专款专用，项目资金使用符合相关的财务管理制度规定，能够反映和考核项目资金的规范运行情况；项目实施单位的财务和业务管理制度健全，能够反映和考核财务和业务管理制度对项目顺利实施的保障情况。</w:t>
      </w:r>
    </w:p>
    <w:p w14:paraId="338AE06B">
      <w:pPr>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（2）制度执行有效性</w:t>
      </w:r>
    </w:p>
    <w:p w14:paraId="177759BF">
      <w:pPr>
        <w:pStyle w:val="2"/>
        <w:keepNext w:val="0"/>
        <w:keepLines w:val="0"/>
        <w:pageBreakBefore w:val="0"/>
        <w:kinsoku/>
        <w:wordWrap/>
        <w:overflowPunct/>
        <w:topLinePunct w:val="0"/>
        <w:autoSpaceDE/>
        <w:autoSpaceDN/>
        <w:bidi w:val="0"/>
        <w:adjustRightInd/>
        <w:snapToGrid/>
        <w:spacing w:before="0" w:after="0" w:line="54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对资金使用的合法合规性进行监督，年末对资金使用效果进行评价。项目管理、实施人员落实到位，有效按照计划执行。项目执行情况等资料齐全，项目相关手续完备，及时进行归档。</w:t>
      </w:r>
    </w:p>
    <w:p w14:paraId="3E9CEA52">
      <w:pPr>
        <w:pStyle w:val="2"/>
        <w:keepNext w:val="0"/>
        <w:keepLines w:val="0"/>
        <w:pageBreakBefore w:val="0"/>
        <w:kinsoku/>
        <w:wordWrap/>
        <w:overflowPunct/>
        <w:topLinePunct w:val="0"/>
        <w:autoSpaceDE/>
        <w:autoSpaceDN/>
        <w:bidi w:val="0"/>
        <w:adjustRightInd/>
        <w:snapToGrid/>
        <w:spacing w:before="0" w:after="0" w:line="540" w:lineRule="exact"/>
        <w:ind w:firstLine="643" w:firstLineChars="200"/>
        <w:jc w:val="both"/>
        <w:textAlignment w:val="auto"/>
        <w:rPr>
          <w:rFonts w:hint="eastAsia" w:ascii="仿宋_GB2312" w:hAnsi="宋体" w:eastAsia="仿宋_GB2312" w:cs="Times New Roman"/>
          <w:b/>
          <w:bCs/>
          <w:kern w:val="2"/>
          <w:sz w:val="32"/>
          <w:szCs w:val="32"/>
          <w:lang w:val="en-US" w:eastAsia="zh-CN" w:bidi="ar-SA"/>
        </w:rPr>
      </w:pPr>
      <w:r>
        <w:rPr>
          <w:rFonts w:hint="eastAsia" w:ascii="仿宋_GB2312" w:hAnsi="宋体" w:eastAsia="仿宋_GB2312" w:cs="Times New Roman"/>
          <w:b/>
          <w:bCs/>
          <w:kern w:val="2"/>
          <w:sz w:val="32"/>
          <w:szCs w:val="32"/>
          <w:lang w:val="en-US" w:eastAsia="zh-CN" w:bidi="ar-SA"/>
        </w:rPr>
        <w:t>（三）项目产出</w:t>
      </w:r>
    </w:p>
    <w:p w14:paraId="76C755EC">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宋体" w:eastAsia="仿宋_GB2312"/>
          <w:b/>
          <w:bCs/>
          <w:sz w:val="32"/>
          <w:szCs w:val="32"/>
        </w:rPr>
      </w:pPr>
      <w:r>
        <w:rPr>
          <w:rFonts w:ascii="仿宋_GB2312" w:hAnsi="宋体" w:eastAsia="仿宋_GB2312"/>
          <w:b/>
          <w:bCs/>
          <w:sz w:val="32"/>
          <w:szCs w:val="32"/>
        </w:rPr>
        <w:t>数量指标方面：</w:t>
      </w:r>
    </w:p>
    <w:p w14:paraId="1123250C">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a.免费开放公共图书馆指标，指标值为105个，实际完成106个，完成率100.95%，偏差率-0.95%。</w:t>
      </w:r>
    </w:p>
    <w:p w14:paraId="68088DCE">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b.免费开放文化馆指标，指标值为115个，实际完成115个，完成率100%，偏差率0%。</w:t>
      </w:r>
    </w:p>
    <w:p w14:paraId="697A339B">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c.免费开放美术馆指标，指标值为56个，实际完成56个，完成率100%，偏差率0%。</w:t>
      </w:r>
    </w:p>
    <w:p w14:paraId="7CEFB6DC">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d.免费开放乡镇文化站指标，指标值为</w:t>
      </w:r>
      <w:r>
        <w:rPr>
          <w:rFonts w:hint="eastAsia" w:ascii="仿宋_GB2312" w:hAnsi="宋体"/>
          <w:sz w:val="32"/>
          <w:szCs w:val="32"/>
        </w:rPr>
        <w:t>943个</w:t>
      </w:r>
      <w:r>
        <w:rPr>
          <w:rFonts w:hint="eastAsia" w:ascii="仿宋_GB2312" w:hAnsi="宋体" w:eastAsia="仿宋_GB2312"/>
          <w:sz w:val="32"/>
          <w:szCs w:val="32"/>
        </w:rPr>
        <w:t>，实际完成944个，完成率100.11%，偏差率-0.11%。</w:t>
      </w:r>
    </w:p>
    <w:p w14:paraId="1CB2214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e.免费开放城市社区（街道）文化中心指标，指标值为</w:t>
      </w:r>
      <w:r>
        <w:rPr>
          <w:rFonts w:hint="eastAsia" w:ascii="仿宋_GB2312" w:hAnsi="宋体"/>
          <w:sz w:val="32"/>
          <w:szCs w:val="32"/>
        </w:rPr>
        <w:t>178个</w:t>
      </w:r>
      <w:r>
        <w:rPr>
          <w:rFonts w:hint="eastAsia" w:ascii="仿宋_GB2312" w:hAnsi="宋体" w:eastAsia="仿宋_GB2312"/>
          <w:sz w:val="32"/>
          <w:szCs w:val="32"/>
        </w:rPr>
        <w:t>，实际完成177个，完成率99.44%，偏差率0.56%，偏差原因为：免费开放乡镇文化站个数与免费开放城市社区（街道）文化中心个数合计为1121个。</w:t>
      </w:r>
    </w:p>
    <w:p w14:paraId="37A18E2F">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Style w:val="52"/>
          <w:rFonts w:ascii="Times New Roman" w:hAnsi="Times New Roman" w:cs="Times New Roman"/>
          <w:b/>
          <w:color w:val="auto"/>
        </w:rPr>
      </w:pPr>
      <w:r>
        <w:rPr>
          <w:rStyle w:val="52"/>
          <w:rFonts w:ascii="Times New Roman" w:hAnsi="Times New Roman" w:cs="Times New Roman"/>
          <w:b/>
          <w:color w:val="auto"/>
        </w:rPr>
        <w:t xml:space="preserve">质量指标方面： </w:t>
      </w:r>
    </w:p>
    <w:p w14:paraId="19041724">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a.“三馆一站”免费开放覆盖率指标，指标值为100%，实际完成100%，完成率100%，偏差率0%。</w:t>
      </w:r>
    </w:p>
    <w:p w14:paraId="3004BCE2">
      <w:pPr>
        <w:pStyle w:val="2"/>
        <w:keepNext w:val="0"/>
        <w:keepLines w:val="0"/>
        <w:pageBreakBefore w:val="0"/>
        <w:kinsoku/>
        <w:wordWrap/>
        <w:overflowPunct/>
        <w:topLinePunct w:val="0"/>
        <w:autoSpaceDE/>
        <w:autoSpaceDN/>
        <w:bidi w:val="0"/>
        <w:adjustRightInd/>
        <w:snapToGrid/>
        <w:spacing w:before="0" w:after="0" w:line="540" w:lineRule="exact"/>
        <w:ind w:firstLine="643" w:firstLineChars="200"/>
        <w:jc w:val="both"/>
        <w:textAlignment w:val="auto"/>
        <w:rPr>
          <w:rStyle w:val="52"/>
          <w:rFonts w:ascii="Times New Roman" w:hAnsi="Times New Roman" w:cs="Times New Roman"/>
          <w:bCs w:val="0"/>
          <w:color w:val="auto"/>
        </w:rPr>
      </w:pPr>
      <w:r>
        <w:rPr>
          <w:rStyle w:val="52"/>
          <w:rFonts w:ascii="Times New Roman" w:hAnsi="Times New Roman" w:cs="Times New Roman"/>
          <w:bCs w:val="0"/>
          <w:color w:val="auto"/>
        </w:rPr>
        <w:t>成本指标方面：</w:t>
      </w:r>
    </w:p>
    <w:p w14:paraId="421FB3A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bCs/>
          <w:sz w:val="32"/>
          <w:szCs w:val="32"/>
        </w:rPr>
      </w:pPr>
      <w:r>
        <w:rPr>
          <w:rFonts w:hint="eastAsia" w:ascii="仿宋_GB2312" w:hAnsi="宋体" w:eastAsia="仿宋_GB2312"/>
          <w:bCs/>
          <w:sz w:val="32"/>
          <w:szCs w:val="32"/>
        </w:rPr>
        <w:t>a.</w:t>
      </w:r>
      <w:r>
        <w:rPr>
          <w:rFonts w:hint="eastAsia" w:ascii="仿宋_GB2312" w:hAnsi="宋体" w:eastAsia="仿宋_GB2312"/>
          <w:sz w:val="32"/>
          <w:szCs w:val="32"/>
        </w:rPr>
        <w:t>地市级公共图书馆、美术馆、文化馆每馆每年补助标准</w:t>
      </w:r>
      <w:r>
        <w:rPr>
          <w:rFonts w:ascii="仿宋_GB2312" w:hAnsi="宋体" w:eastAsia="仿宋_GB2312"/>
          <w:sz w:val="32"/>
          <w:szCs w:val="32"/>
        </w:rPr>
        <w:t>(50万*0.</w:t>
      </w: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指标，指标值为</w:t>
      </w:r>
      <w:r>
        <w:rPr>
          <w:rFonts w:hint="eastAsia" w:ascii="仿宋_GB2312" w:hAnsi="宋体" w:eastAsia="仿宋_GB2312"/>
          <w:bCs/>
          <w:sz w:val="32"/>
          <w:szCs w:val="32"/>
        </w:rPr>
        <w:t>10万元</w:t>
      </w:r>
      <w:r>
        <w:rPr>
          <w:rFonts w:hint="eastAsia" w:ascii="仿宋_GB2312" w:hAnsi="宋体" w:eastAsia="仿宋_GB2312"/>
          <w:sz w:val="32"/>
          <w:szCs w:val="32"/>
        </w:rPr>
        <w:t>，实际完成100%，完成率100%、偏差率0%</w:t>
      </w:r>
      <w:r>
        <w:rPr>
          <w:rFonts w:hint="eastAsia" w:ascii="仿宋_GB2312" w:hAnsi="宋体" w:eastAsia="仿宋_GB2312"/>
          <w:bCs/>
          <w:sz w:val="32"/>
          <w:szCs w:val="32"/>
        </w:rPr>
        <w:t>。</w:t>
      </w:r>
    </w:p>
    <w:p w14:paraId="590D5B1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bCs/>
          <w:sz w:val="32"/>
          <w:szCs w:val="32"/>
        </w:rPr>
      </w:pPr>
      <w:r>
        <w:rPr>
          <w:rFonts w:hint="eastAsia" w:ascii="仿宋_GB2312" w:hAnsi="宋体" w:eastAsia="仿宋_GB2312"/>
          <w:bCs/>
          <w:sz w:val="32"/>
          <w:szCs w:val="32"/>
        </w:rPr>
        <w:t>b.</w:t>
      </w:r>
      <w:r>
        <w:rPr>
          <w:rFonts w:hint="eastAsia" w:ascii="仿宋_GB2312" w:hAnsi="宋体" w:eastAsia="仿宋_GB2312"/>
          <w:sz w:val="32"/>
          <w:szCs w:val="32"/>
        </w:rPr>
        <w:t>县市级公共图书馆、美术馆、文化馆每馆每年补助标准</w:t>
      </w:r>
      <w:r>
        <w:rPr>
          <w:rFonts w:ascii="仿宋_GB2312" w:hAnsi="宋体" w:eastAsia="仿宋_GB2312"/>
          <w:sz w:val="32"/>
          <w:szCs w:val="32"/>
        </w:rPr>
        <w:t>(20万*0.</w:t>
      </w: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指标，指标值为</w:t>
      </w:r>
      <w:r>
        <w:rPr>
          <w:rFonts w:hint="eastAsia" w:ascii="仿宋_GB2312" w:hAnsi="宋体" w:eastAsia="仿宋_GB2312"/>
          <w:bCs/>
          <w:sz w:val="32"/>
          <w:szCs w:val="32"/>
        </w:rPr>
        <w:t>4万元</w:t>
      </w:r>
      <w:r>
        <w:rPr>
          <w:rFonts w:hint="eastAsia" w:ascii="仿宋_GB2312" w:hAnsi="宋体" w:eastAsia="仿宋_GB2312"/>
          <w:sz w:val="32"/>
          <w:szCs w:val="32"/>
        </w:rPr>
        <w:t>，实际完成100%，完成率100%、偏差率0%</w:t>
      </w:r>
      <w:r>
        <w:rPr>
          <w:rFonts w:hint="eastAsia" w:ascii="仿宋_GB2312" w:hAnsi="宋体" w:eastAsia="仿宋_GB2312"/>
          <w:bCs/>
          <w:sz w:val="32"/>
          <w:szCs w:val="32"/>
        </w:rPr>
        <w:t>。</w:t>
      </w:r>
    </w:p>
    <w:p w14:paraId="01FC0AD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bCs/>
          <w:sz w:val="32"/>
          <w:szCs w:val="32"/>
        </w:rPr>
      </w:pPr>
      <w:r>
        <w:rPr>
          <w:rFonts w:hint="eastAsia" w:ascii="仿宋_GB2312" w:hAnsi="宋体" w:eastAsia="仿宋_GB2312"/>
          <w:bCs/>
          <w:sz w:val="32"/>
          <w:szCs w:val="32"/>
        </w:rPr>
        <w:t>c.</w:t>
      </w:r>
      <w:r>
        <w:rPr>
          <w:rFonts w:hint="eastAsia" w:ascii="仿宋_GB2312" w:hAnsi="宋体" w:eastAsia="仿宋_GB2312"/>
          <w:sz w:val="32"/>
          <w:szCs w:val="32"/>
        </w:rPr>
        <w:t>乡镇（街道）综合文化站（中心）每站每年补助标准</w:t>
      </w:r>
      <w:r>
        <w:rPr>
          <w:rFonts w:ascii="仿宋_GB2312" w:hAnsi="宋体" w:eastAsia="仿宋_GB2312"/>
          <w:sz w:val="32"/>
          <w:szCs w:val="32"/>
        </w:rPr>
        <w:t>(5万*0.</w:t>
      </w: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指标，指标值为</w:t>
      </w:r>
      <w:r>
        <w:rPr>
          <w:rFonts w:hint="eastAsia" w:ascii="仿宋_GB2312" w:hAnsi="宋体" w:eastAsia="仿宋_GB2312"/>
          <w:bCs/>
          <w:sz w:val="32"/>
          <w:szCs w:val="32"/>
        </w:rPr>
        <w:t>1万元</w:t>
      </w:r>
      <w:r>
        <w:rPr>
          <w:rFonts w:hint="eastAsia" w:ascii="仿宋_GB2312" w:hAnsi="宋体" w:eastAsia="仿宋_GB2312"/>
          <w:sz w:val="32"/>
          <w:szCs w:val="32"/>
        </w:rPr>
        <w:t>，实际完成100%，完成率100%、偏差率0%</w:t>
      </w:r>
      <w:r>
        <w:rPr>
          <w:rFonts w:hint="eastAsia" w:ascii="仿宋_GB2312" w:hAnsi="宋体" w:eastAsia="仿宋_GB2312"/>
          <w:bCs/>
          <w:sz w:val="32"/>
          <w:szCs w:val="32"/>
        </w:rPr>
        <w:t>。</w:t>
      </w:r>
    </w:p>
    <w:p w14:paraId="7C7A34A3">
      <w:pPr>
        <w:pStyle w:val="2"/>
        <w:keepNext w:val="0"/>
        <w:keepLines w:val="0"/>
        <w:pageBreakBefore w:val="0"/>
        <w:kinsoku/>
        <w:wordWrap/>
        <w:overflowPunct/>
        <w:topLinePunct w:val="0"/>
        <w:autoSpaceDE/>
        <w:autoSpaceDN/>
        <w:bidi w:val="0"/>
        <w:adjustRightInd/>
        <w:snapToGrid/>
        <w:spacing w:before="0" w:after="0" w:line="540" w:lineRule="exact"/>
        <w:ind w:firstLine="321" w:firstLineChars="100"/>
        <w:jc w:val="both"/>
        <w:textAlignment w:val="auto"/>
        <w:rPr>
          <w:rFonts w:ascii="Times New Roman" w:hAnsi="Times New Roman" w:eastAsia="楷体_GB2312"/>
        </w:rPr>
      </w:pPr>
      <w:r>
        <w:rPr>
          <w:rFonts w:hint="eastAsia" w:ascii="Times New Roman" w:hAnsi="Times New Roman" w:eastAsia="楷体_GB2312"/>
        </w:rPr>
        <w:t>（四）</w:t>
      </w:r>
      <w:r>
        <w:rPr>
          <w:rFonts w:ascii="Times New Roman" w:hAnsi="Times New Roman" w:eastAsia="楷体_GB2312"/>
        </w:rPr>
        <w:t>效益情况</w:t>
      </w:r>
    </w:p>
    <w:p w14:paraId="4C0C0BBE">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Style w:val="52"/>
          <w:rFonts w:hint="eastAsia" w:hAnsi="Times New Roman" w:cs="Times New Roman"/>
          <w:color w:val="auto"/>
        </w:rPr>
        <w:t>a.社会效益指标方面：</w:t>
      </w:r>
      <w:r>
        <w:rPr>
          <w:rFonts w:hint="eastAsia" w:ascii="仿宋_GB2312" w:eastAsia="仿宋_GB2312"/>
          <w:sz w:val="32"/>
          <w:szCs w:val="32"/>
        </w:rPr>
        <w:t>保障群众精神文化需求</w:t>
      </w:r>
      <w:r>
        <w:rPr>
          <w:rFonts w:hint="eastAsia" w:ascii="仿宋_GB2312" w:hAnsi="仿宋_GB2312" w:eastAsia="仿宋_GB2312" w:cs="仿宋_GB2312"/>
          <w:sz w:val="32"/>
          <w:szCs w:val="32"/>
        </w:rPr>
        <w:t>指标，指标有效保障，实际达成目标，完成率100%，偏差率0%，</w:t>
      </w:r>
    </w:p>
    <w:p w14:paraId="1037F8A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Style w:val="52"/>
          <w:rFonts w:hint="eastAsia" w:hAnsi="Times New Roman" w:cs="Times New Roman"/>
          <w:color w:val="auto"/>
        </w:rPr>
        <w:t>b.可持续影响指标方面：</w:t>
      </w:r>
      <w:r>
        <w:rPr>
          <w:rFonts w:hint="eastAsia" w:ascii="仿宋_GB2312" w:eastAsia="仿宋_GB2312"/>
          <w:sz w:val="32"/>
          <w:szCs w:val="32"/>
        </w:rPr>
        <w:t>弘扬传承中华优秀传统文化</w:t>
      </w:r>
      <w:r>
        <w:rPr>
          <w:rFonts w:hint="eastAsia" w:ascii="仿宋_GB2312" w:hAnsi="仿宋_GB2312" w:eastAsia="仿宋_GB2312" w:cs="仿宋_GB2312"/>
          <w:sz w:val="32"/>
          <w:szCs w:val="32"/>
        </w:rPr>
        <w:t>指标，指标有效保障，实际达成目标，完成率100%，偏差率0%，</w:t>
      </w:r>
    </w:p>
    <w:p w14:paraId="4A75C5A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rPr>
      </w:pPr>
      <w:r>
        <w:rPr>
          <w:rStyle w:val="52"/>
          <w:rFonts w:hint="eastAsia" w:hAnsi="Times New Roman" w:cs="Times New Roman"/>
          <w:color w:val="auto"/>
        </w:rPr>
        <w:t>c.满意度指标方面：</w:t>
      </w:r>
      <w:r>
        <w:rPr>
          <w:rFonts w:hint="eastAsia" w:ascii="仿宋_GB2312" w:eastAsia="仿宋_GB2312"/>
          <w:sz w:val="32"/>
          <w:szCs w:val="32"/>
        </w:rPr>
        <w:t>社会公众对“三馆一站”公共文化服务满意度指标，指标值为≥85%，实际完成90%，完成率105.89%，偏差率-5.89%。</w:t>
      </w:r>
    </w:p>
    <w:p w14:paraId="21BB582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黑体" w:cs="Times New Roman"/>
          <w:sz w:val="32"/>
          <w:szCs w:val="32"/>
          <w:lang w:eastAsia="zh-Hans"/>
        </w:rPr>
      </w:pPr>
      <w:r>
        <w:rPr>
          <w:rFonts w:hint="eastAsia" w:ascii="Times New Roman" w:hAnsi="Times New Roman" w:eastAsia="黑体" w:cs="Times New Roman"/>
          <w:sz w:val="32"/>
          <w:szCs w:val="32"/>
          <w:lang w:eastAsia="zh-Hans"/>
        </w:rPr>
        <w:t>五、预算执行进度与绩效指标总体完成率偏差</w:t>
      </w:r>
    </w:p>
    <w:p w14:paraId="7695C82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三馆一站免费开放资金</w:t>
      </w:r>
      <w:r>
        <w:rPr>
          <w:rFonts w:hint="eastAsia" w:ascii="仿宋_GB2312" w:hAnsi="仿宋_GB2312" w:eastAsia="仿宋_GB2312" w:cs="仿宋_GB2312"/>
          <w:sz w:val="32"/>
          <w:szCs w:val="32"/>
        </w:rPr>
        <w:t>项目年初预算</w:t>
      </w:r>
      <w:r>
        <w:rPr>
          <w:rFonts w:hint="eastAsia" w:ascii="仿宋_GB2312" w:hAnsi="仿宋_GB2312" w:eastAsia="仿宋_GB2312" w:cs="仿宋_GB2312"/>
          <w:sz w:val="32"/>
          <w:szCs w:val="32"/>
          <w:lang w:val="en-US" w:eastAsia="zh-CN"/>
        </w:rPr>
        <w:t>1749</w:t>
      </w:r>
      <w:r>
        <w:rPr>
          <w:rFonts w:hint="eastAsia" w:ascii="仿宋_GB2312" w:hAnsi="仿宋_GB2312" w:eastAsia="仿宋_GB2312" w:cs="仿宋_GB2312"/>
          <w:sz w:val="32"/>
          <w:szCs w:val="32"/>
        </w:rPr>
        <w:t>万元，全年预算</w:t>
      </w:r>
      <w:r>
        <w:rPr>
          <w:rFonts w:hint="eastAsia" w:ascii="仿宋_GB2312" w:hAnsi="仿宋_GB2312" w:eastAsia="仿宋_GB2312" w:cs="仿宋_GB2312"/>
          <w:sz w:val="32"/>
          <w:szCs w:val="32"/>
          <w:lang w:val="en-US" w:eastAsia="zh-CN"/>
        </w:rPr>
        <w:t>1749</w:t>
      </w:r>
      <w:r>
        <w:rPr>
          <w:rFonts w:hint="eastAsia" w:ascii="仿宋_GB2312" w:hAnsi="仿宋_GB2312" w:eastAsia="仿宋_GB2312" w:cs="仿宋_GB2312"/>
          <w:sz w:val="32"/>
          <w:szCs w:val="32"/>
        </w:rPr>
        <w:t>万元，实际支出1364.81万元，预算执行率为</w:t>
      </w:r>
      <w:r>
        <w:rPr>
          <w:rFonts w:hint="eastAsia" w:ascii="仿宋_GB2312" w:hAnsi="仿宋_GB2312" w:eastAsia="仿宋_GB2312" w:cs="仿宋_GB2312"/>
          <w:sz w:val="32"/>
          <w:szCs w:val="32"/>
          <w:lang w:val="en-US" w:eastAsia="zh-CN"/>
        </w:rPr>
        <w:t>78.03</w:t>
      </w:r>
      <w:r>
        <w:rPr>
          <w:rFonts w:hint="eastAsia" w:ascii="仿宋_GB2312" w:hAnsi="仿宋_GB2312" w:eastAsia="仿宋_GB2312" w:cs="仿宋_GB2312"/>
          <w:sz w:val="32"/>
          <w:szCs w:val="32"/>
        </w:rPr>
        <w:t>%，项目绩效指标总体完成率为</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总体</w:t>
      </w:r>
      <w:r>
        <w:rPr>
          <w:rFonts w:hint="eastAsia" w:ascii="仿宋_GB2312" w:hAnsi="仿宋_GB2312" w:eastAsia="仿宋_GB2312" w:cs="仿宋_GB2312"/>
          <w:sz w:val="32"/>
          <w:szCs w:val="32"/>
        </w:rPr>
        <w:t>偏差率为</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偏差</w:t>
      </w:r>
      <w:r>
        <w:rPr>
          <w:rFonts w:hint="eastAsia" w:ascii="仿宋_GB2312" w:hAnsi="仿宋_GB2312" w:eastAsia="仿宋_GB2312" w:cs="仿宋_GB2312"/>
          <w:sz w:val="32"/>
          <w:szCs w:val="32"/>
        </w:rPr>
        <w:t>原因</w:t>
      </w:r>
      <w:r>
        <w:rPr>
          <w:rFonts w:hint="eastAsia" w:ascii="仿宋_GB2312" w:hAnsi="仿宋_GB2312" w:eastAsia="仿宋_GB2312" w:cs="仿宋_GB2312"/>
          <w:sz w:val="32"/>
          <w:szCs w:val="32"/>
          <w:lang w:val="en-US" w:eastAsia="zh-CN"/>
        </w:rPr>
        <w:t>xxxx</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改进</w:t>
      </w:r>
      <w:r>
        <w:rPr>
          <w:rFonts w:hint="eastAsia" w:ascii="仿宋_GB2312" w:hAnsi="仿宋_GB2312" w:eastAsia="仿宋_GB2312" w:cs="仿宋_GB2312"/>
          <w:sz w:val="32"/>
          <w:szCs w:val="32"/>
        </w:rPr>
        <w:t>措施</w:t>
      </w:r>
      <w:r>
        <w:rPr>
          <w:rFonts w:hint="eastAsia" w:ascii="仿宋_GB2312" w:hAnsi="仿宋_GB2312" w:eastAsia="仿宋_GB2312" w:cs="仿宋_GB2312"/>
          <w:sz w:val="32"/>
          <w:szCs w:val="32"/>
          <w:lang w:val="en-US" w:eastAsia="zh-CN"/>
        </w:rPr>
        <w:t>xxx</w:t>
      </w:r>
      <w:r>
        <w:rPr>
          <w:rFonts w:hint="eastAsia" w:ascii="仿宋_GB2312" w:hAnsi="仿宋_GB2312" w:eastAsia="仿宋_GB2312" w:cs="仿宋_GB2312"/>
          <w:sz w:val="32"/>
          <w:szCs w:val="32"/>
        </w:rPr>
        <w:t>。</w:t>
      </w:r>
    </w:p>
    <w:p w14:paraId="57A7F4A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Style w:val="52"/>
          <w:rFonts w:ascii="Times New Roman" w:hAnsi="Times New Roman" w:cs="Times New Roman"/>
          <w:color w:val="auto"/>
        </w:rPr>
      </w:pPr>
      <w:r>
        <w:rPr>
          <w:rFonts w:hint="eastAsia" w:eastAsia="黑体"/>
          <w:sz w:val="32"/>
          <w:szCs w:val="32"/>
          <w:lang w:val="en-US" w:eastAsia="zh-CN"/>
        </w:rPr>
        <w:t>六</w:t>
      </w:r>
      <w:r>
        <w:rPr>
          <w:rFonts w:eastAsia="黑体"/>
          <w:sz w:val="32"/>
          <w:szCs w:val="32"/>
        </w:rPr>
        <w:t>、主要经验及做法、存在的问题及原因分析</w:t>
      </w:r>
    </w:p>
    <w:p w14:paraId="0CA0F28A">
      <w:pPr>
        <w:keepNext w:val="0"/>
        <w:keepLines w:val="0"/>
        <w:pageBreakBefore w:val="0"/>
        <w:kinsoku/>
        <w:wordWrap/>
        <w:overflowPunct/>
        <w:topLinePunct w:val="0"/>
        <w:autoSpaceDE/>
        <w:autoSpaceDN/>
        <w:bidi w:val="0"/>
        <w:adjustRightInd/>
        <w:snapToGrid/>
        <w:spacing w:line="540" w:lineRule="exact"/>
        <w:ind w:firstLine="627" w:firstLineChars="200"/>
        <w:textAlignment w:val="auto"/>
        <w:rPr>
          <w:rFonts w:eastAsia="楷体"/>
          <w:b/>
          <w:spacing w:val="-4"/>
          <w:sz w:val="32"/>
          <w:szCs w:val="32"/>
        </w:rPr>
      </w:pPr>
      <w:r>
        <w:rPr>
          <w:rFonts w:eastAsia="楷体"/>
          <w:b/>
          <w:spacing w:val="-4"/>
          <w:sz w:val="32"/>
          <w:szCs w:val="32"/>
        </w:rPr>
        <w:t>（一）主要经验及做法</w:t>
      </w:r>
    </w:p>
    <w:p w14:paraId="05ABC88C">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eastAsia="仿宋_GB2312"/>
          <w:sz w:val="32"/>
          <w:szCs w:val="32"/>
        </w:rPr>
        <w:t>为确保项目顺利进行，</w:t>
      </w:r>
      <w:r>
        <w:rPr>
          <w:rFonts w:hint="eastAsia" w:eastAsia="仿宋_GB2312"/>
          <w:sz w:val="32"/>
          <w:szCs w:val="32"/>
        </w:rPr>
        <w:t>2021年年底</w:t>
      </w:r>
      <w:r>
        <w:rPr>
          <w:rFonts w:eastAsia="仿宋_GB2312"/>
          <w:sz w:val="32"/>
          <w:szCs w:val="32"/>
        </w:rPr>
        <w:t>制定</w:t>
      </w:r>
      <w:r>
        <w:rPr>
          <w:rFonts w:hint="eastAsia" w:ascii="仿宋_GB2312" w:eastAsia="仿宋_GB2312"/>
          <w:sz w:val="32"/>
          <w:szCs w:val="32"/>
        </w:rPr>
        <w:t>资金分配</w:t>
      </w:r>
      <w:r>
        <w:rPr>
          <w:rFonts w:eastAsia="仿宋_GB2312"/>
          <w:sz w:val="32"/>
          <w:szCs w:val="32"/>
        </w:rPr>
        <w:t>方案，经</w:t>
      </w:r>
      <w:r>
        <w:rPr>
          <w:rFonts w:hint="eastAsia" w:eastAsia="仿宋_GB2312"/>
          <w:sz w:val="32"/>
          <w:szCs w:val="32"/>
        </w:rPr>
        <w:t>自治区文化和旅游厅党组审议</w:t>
      </w:r>
      <w:r>
        <w:rPr>
          <w:rFonts w:eastAsia="仿宋_GB2312"/>
          <w:sz w:val="32"/>
          <w:szCs w:val="32"/>
        </w:rPr>
        <w:t>通过后，有序开展后续工作。资金</w:t>
      </w:r>
      <w:r>
        <w:rPr>
          <w:rFonts w:hint="eastAsia" w:eastAsia="仿宋_GB2312"/>
          <w:sz w:val="32"/>
          <w:szCs w:val="32"/>
        </w:rPr>
        <w:t>拨付至14个地州后，各相关单位</w:t>
      </w:r>
      <w:r>
        <w:rPr>
          <w:rFonts w:eastAsia="仿宋_GB2312"/>
          <w:sz w:val="32"/>
          <w:szCs w:val="32"/>
        </w:rPr>
        <w:t>按照</w:t>
      </w:r>
      <w:r>
        <w:rPr>
          <w:rFonts w:hint="eastAsia" w:eastAsia="仿宋_GB2312"/>
          <w:sz w:val="32"/>
          <w:szCs w:val="32"/>
        </w:rPr>
        <w:t>本地“三馆一站”实际情况逐级</w:t>
      </w:r>
      <w:r>
        <w:rPr>
          <w:rFonts w:eastAsia="仿宋_GB2312"/>
          <w:sz w:val="32"/>
          <w:szCs w:val="32"/>
        </w:rPr>
        <w:t>进行</w:t>
      </w:r>
      <w:r>
        <w:rPr>
          <w:rFonts w:hint="eastAsia" w:eastAsia="仿宋_GB2312"/>
          <w:sz w:val="32"/>
          <w:szCs w:val="32"/>
        </w:rPr>
        <w:t>资金分配</w:t>
      </w:r>
      <w:r>
        <w:rPr>
          <w:rFonts w:eastAsia="仿宋_GB2312"/>
          <w:sz w:val="32"/>
          <w:szCs w:val="32"/>
        </w:rPr>
        <w:t>，</w:t>
      </w:r>
      <w:r>
        <w:rPr>
          <w:rFonts w:hint="eastAsia" w:eastAsia="仿宋_GB2312"/>
          <w:sz w:val="32"/>
          <w:szCs w:val="32"/>
        </w:rPr>
        <w:t>确保</w:t>
      </w:r>
      <w:r>
        <w:rPr>
          <w:rFonts w:eastAsia="仿宋_GB2312"/>
          <w:sz w:val="32"/>
          <w:szCs w:val="32"/>
        </w:rPr>
        <w:t>项目质量及效率性。</w:t>
      </w:r>
      <w:r>
        <w:rPr>
          <w:rFonts w:hint="eastAsia" w:ascii="仿宋_GB2312" w:eastAsia="仿宋_GB2312"/>
          <w:sz w:val="32"/>
          <w:szCs w:val="32"/>
        </w:rPr>
        <w:t>2022年6月，财务处及我处等相关处室（单位）人员对各地（州、市）专项资金使用情况开展督察。2022年7月，我处根据梳理出的资金使用情况，下发《关于对“三馆一站”免费开放资金使用情况进行整改的通知》，要求相关单位进一步加大对免费开放资金的监管力度及活动开展力度，提升资金使用的序时进度，发挥资金使用效能</w:t>
      </w:r>
      <w:r>
        <w:rPr>
          <w:rFonts w:hint="eastAsia" w:ascii="仿宋_GB2312" w:hAnsi="仿宋_GB2312" w:eastAsia="仿宋_GB2312" w:cs="仿宋_GB2312"/>
          <w:sz w:val="32"/>
          <w:szCs w:val="32"/>
        </w:rPr>
        <w:t>。</w:t>
      </w:r>
    </w:p>
    <w:p w14:paraId="57DE5171">
      <w:pPr>
        <w:keepNext w:val="0"/>
        <w:keepLines w:val="0"/>
        <w:pageBreakBefore w:val="0"/>
        <w:kinsoku/>
        <w:wordWrap/>
        <w:overflowPunct/>
        <w:topLinePunct w:val="0"/>
        <w:autoSpaceDE/>
        <w:autoSpaceDN/>
        <w:bidi w:val="0"/>
        <w:adjustRightInd/>
        <w:snapToGrid/>
        <w:spacing w:line="540" w:lineRule="exact"/>
        <w:ind w:firstLine="627" w:firstLineChars="200"/>
        <w:textAlignment w:val="auto"/>
        <w:rPr>
          <w:rFonts w:eastAsia="楷体"/>
          <w:b/>
          <w:spacing w:val="-4"/>
          <w:sz w:val="32"/>
          <w:szCs w:val="32"/>
        </w:rPr>
      </w:pPr>
      <w:r>
        <w:rPr>
          <w:rFonts w:hint="eastAsia" w:eastAsia="楷体"/>
          <w:b/>
          <w:spacing w:val="-4"/>
          <w:sz w:val="32"/>
          <w:szCs w:val="32"/>
        </w:rPr>
        <w:t>（二）</w:t>
      </w:r>
      <w:r>
        <w:rPr>
          <w:rFonts w:eastAsia="楷体"/>
          <w:b/>
          <w:spacing w:val="-4"/>
          <w:sz w:val="32"/>
          <w:szCs w:val="32"/>
        </w:rPr>
        <w:t>存在的问题及原因分析</w:t>
      </w:r>
    </w:p>
    <w:p w14:paraId="012DCEF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ascii="仿宋_GB2312" w:hAnsi="仿宋_GB2312" w:eastAsia="仿宋_GB2312" w:cs="仿宋_GB2312"/>
          <w:sz w:val="32"/>
          <w:szCs w:val="32"/>
        </w:rPr>
        <w:t>存在的问题</w:t>
      </w:r>
      <w:r>
        <w:rPr>
          <w:rFonts w:hint="eastAsia" w:ascii="仿宋_GB2312" w:hAnsi="仿宋_GB2312" w:eastAsia="仿宋_GB2312" w:cs="仿宋_GB2312"/>
          <w:sz w:val="32"/>
          <w:szCs w:val="32"/>
        </w:rPr>
        <w:t>及</w:t>
      </w:r>
      <w:r>
        <w:rPr>
          <w:rFonts w:ascii="仿宋_GB2312" w:hAnsi="仿宋_GB2312" w:eastAsia="仿宋_GB2312" w:cs="仿宋_GB2312"/>
          <w:sz w:val="32"/>
          <w:szCs w:val="32"/>
        </w:rPr>
        <w:t>原因分析</w:t>
      </w:r>
      <w:r>
        <w:rPr>
          <w:rFonts w:hint="eastAsia" w:ascii="仿宋_GB2312" w:hAnsi="仿宋_GB2312" w:eastAsia="仿宋_GB2312" w:cs="仿宋_GB2312"/>
          <w:sz w:val="32"/>
          <w:szCs w:val="32"/>
        </w:rPr>
        <w:t>：2022年，各类公共文化场馆活动在推进过程中，受疫情防控及政策措施影响，存在覆盖面、参与人群、活动场次等压缩或者计划滞后的情况，</w:t>
      </w:r>
      <w:r>
        <w:rPr>
          <w:rFonts w:hint="eastAsia" w:ascii="仿宋_GB2312" w:eastAsia="仿宋_GB2312"/>
          <w:sz w:val="32"/>
          <w:szCs w:val="32"/>
        </w:rPr>
        <w:t>“三馆一站”免费开放资金使用进度较缓慢。</w:t>
      </w:r>
    </w:p>
    <w:p w14:paraId="5B9DEE04">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eastAsia="黑体"/>
          <w:sz w:val="32"/>
          <w:szCs w:val="32"/>
        </w:rPr>
      </w:pPr>
      <w:r>
        <w:rPr>
          <w:rFonts w:hint="eastAsia" w:eastAsia="黑体"/>
          <w:sz w:val="32"/>
          <w:szCs w:val="32"/>
          <w:lang w:val="en-US" w:eastAsia="zh-CN"/>
        </w:rPr>
        <w:t>七、</w:t>
      </w:r>
      <w:r>
        <w:rPr>
          <w:rFonts w:eastAsia="黑体"/>
          <w:sz w:val="32"/>
          <w:szCs w:val="32"/>
        </w:rPr>
        <w:t>有关建议</w:t>
      </w:r>
    </w:p>
    <w:p w14:paraId="20098A1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hint="eastAsia" w:ascii="仿宋_GB2312" w:hAnsi="仿宋_GB2312" w:eastAsia="仿宋_GB2312" w:cs="仿宋_GB2312"/>
          <w:sz w:val="32"/>
          <w:szCs w:val="28"/>
        </w:rPr>
        <w:t>进一步加强对绩效管理工作的组织领导，提高对预算绩效管理工作重要性的认识，总结经验查找问题，抓紧研究制定更全面更完善的绩效评价管理办法。结合“三馆一站”免费开放</w:t>
      </w:r>
      <w:r>
        <w:rPr>
          <w:rFonts w:hint="eastAsia" w:ascii="仿宋_GB2312" w:hAnsi="宋体" w:eastAsia="仿宋_GB2312"/>
          <w:sz w:val="32"/>
          <w:szCs w:val="32"/>
        </w:rPr>
        <w:t>资金的使用情况、实施情况以及取得的综合绩效，进一步加强和规范项目资金管理，以保证项目资金使用管理的规范性、安全性和有效性。</w:t>
      </w:r>
    </w:p>
    <w:p w14:paraId="3D6D79F1">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eastAsia="黑体"/>
          <w:sz w:val="32"/>
          <w:szCs w:val="32"/>
        </w:rPr>
      </w:pPr>
      <w:r>
        <w:rPr>
          <w:rFonts w:hint="eastAsia" w:eastAsia="黑体"/>
          <w:sz w:val="32"/>
          <w:szCs w:val="32"/>
          <w:lang w:val="en-US" w:eastAsia="zh-CN"/>
        </w:rPr>
        <w:t>八、</w:t>
      </w:r>
      <w:r>
        <w:rPr>
          <w:rFonts w:eastAsia="黑体"/>
          <w:sz w:val="32"/>
          <w:szCs w:val="32"/>
        </w:rPr>
        <w:t>其他需要说</w:t>
      </w:r>
      <w:bookmarkStart w:id="1" w:name="page8"/>
      <w:bookmarkEnd w:id="1"/>
      <w:r>
        <w:rPr>
          <w:rFonts w:eastAsia="黑体"/>
          <w:sz w:val="32"/>
          <w:szCs w:val="32"/>
        </w:rPr>
        <w:t>明的问题</w:t>
      </w:r>
    </w:p>
    <w:p w14:paraId="43C98D7A">
      <w:pPr>
        <w:pStyle w:val="20"/>
        <w:keepNext w:val="0"/>
        <w:keepLines w:val="0"/>
        <w:pageBreakBefore w:val="0"/>
        <w:kinsoku/>
        <w:wordWrap/>
        <w:overflowPunct/>
        <w:topLinePunct w:val="0"/>
        <w:autoSpaceDE/>
        <w:autoSpaceDN/>
        <w:bidi w:val="0"/>
        <w:adjustRightInd/>
        <w:snapToGrid/>
        <w:spacing w:after="0" w:line="540" w:lineRule="exact"/>
        <w:ind w:firstLine="320" w:firstLineChars="100"/>
        <w:rPr>
          <w:rFonts w:ascii="Times New Roman" w:hAnsi="Times New Roman" w:eastAsia="方正小标宋简体"/>
          <w:b/>
          <w:kern w:val="0"/>
          <w:sz w:val="32"/>
          <w:szCs w:val="32"/>
        </w:rPr>
        <w:sectPr>
          <w:headerReference r:id="rId3" w:type="default"/>
          <w:footerReference r:id="rId4" w:type="default"/>
          <w:pgSz w:w="11906" w:h="16838"/>
          <w:pgMar w:top="1440" w:right="1531" w:bottom="1440" w:left="1531" w:header="851" w:footer="992" w:gutter="0"/>
          <w:pgNumType w:fmt="numberInDash"/>
          <w:cols w:space="425" w:num="1"/>
          <w:docGrid w:type="lines" w:linePitch="312" w:charSpace="0"/>
        </w:sectPr>
      </w:pPr>
      <w:r>
        <w:rPr>
          <w:rFonts w:hint="eastAsia" w:ascii="仿宋_GB2312" w:hAnsi="仿宋_GB2312" w:eastAsia="仿宋_GB2312" w:cs="仿宋_GB2312"/>
          <w:sz w:val="32"/>
          <w:szCs w:val="32"/>
        </w:rPr>
        <w:t>无。</w:t>
      </w:r>
    </w:p>
    <w:tbl>
      <w:tblPr>
        <w:tblStyle w:val="21"/>
        <w:tblW w:w="10206" w:type="dxa"/>
        <w:jc w:val="center"/>
        <w:tblLayout w:type="fixed"/>
        <w:tblCellMar>
          <w:top w:w="0" w:type="dxa"/>
          <w:left w:w="0" w:type="dxa"/>
          <w:bottom w:w="0" w:type="dxa"/>
          <w:right w:w="0" w:type="dxa"/>
        </w:tblCellMar>
      </w:tblPr>
      <w:tblGrid>
        <w:gridCol w:w="705"/>
        <w:gridCol w:w="555"/>
        <w:gridCol w:w="1097"/>
        <w:gridCol w:w="1350"/>
        <w:gridCol w:w="1523"/>
        <w:gridCol w:w="315"/>
        <w:gridCol w:w="953"/>
        <w:gridCol w:w="1348"/>
        <w:gridCol w:w="2360"/>
      </w:tblGrid>
      <w:tr w14:paraId="77B7B8DE">
        <w:tblPrEx>
          <w:tblCellMar>
            <w:top w:w="0" w:type="dxa"/>
            <w:left w:w="0" w:type="dxa"/>
            <w:bottom w:w="0" w:type="dxa"/>
            <w:right w:w="0" w:type="dxa"/>
          </w:tblCellMar>
        </w:tblPrEx>
        <w:trPr>
          <w:trHeight w:val="420" w:hRule="atLeast"/>
          <w:jc w:val="center"/>
        </w:trPr>
        <w:tc>
          <w:tcPr>
            <w:tcW w:w="10206" w:type="dxa"/>
            <w:gridSpan w:val="9"/>
            <w:tcBorders>
              <w:top w:val="nil"/>
              <w:left w:val="nil"/>
              <w:bottom w:val="single" w:color="auto" w:sz="4" w:space="0"/>
              <w:right w:val="nil"/>
            </w:tcBorders>
            <w:shd w:val="clear" w:color="auto" w:fill="auto"/>
            <w:tcMar>
              <w:top w:w="12" w:type="dxa"/>
              <w:left w:w="12" w:type="dxa"/>
              <w:right w:w="12" w:type="dxa"/>
            </w:tcMar>
            <w:vAlign w:val="center"/>
          </w:tcPr>
          <w:p w14:paraId="5158B09E">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eastAsia="方正小标宋简体"/>
                <w:b/>
                <w:sz w:val="32"/>
                <w:szCs w:val="32"/>
                <w:u w:val="single"/>
              </w:rPr>
            </w:pPr>
            <w:r>
              <w:rPr>
                <w:rFonts w:hint="eastAsia" w:ascii="方正小标宋_GBK" w:hAnsi="方正小标宋_GBK" w:eastAsia="方正小标宋_GBK" w:cs="方正小标宋_GBK"/>
                <w:b w:val="0"/>
                <w:bCs/>
                <w:kern w:val="0"/>
                <w:sz w:val="32"/>
                <w:szCs w:val="32"/>
              </w:rPr>
              <w:t>项目支出绩效自评表</w:t>
            </w:r>
          </w:p>
        </w:tc>
      </w:tr>
      <w:tr w14:paraId="4CBB27D3">
        <w:tblPrEx>
          <w:tblCellMar>
            <w:top w:w="0" w:type="dxa"/>
            <w:left w:w="0" w:type="dxa"/>
            <w:bottom w:w="0" w:type="dxa"/>
            <w:right w:w="0" w:type="dxa"/>
          </w:tblCellMar>
        </w:tblPrEx>
        <w:trPr>
          <w:trHeight w:val="288" w:hRule="atLeast"/>
          <w:jc w:val="center"/>
        </w:trPr>
        <w:tc>
          <w:tcPr>
            <w:tcW w:w="10206" w:type="dxa"/>
            <w:gridSpan w:val="9"/>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3104317">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（2022年度）</w:t>
            </w:r>
          </w:p>
        </w:tc>
      </w:tr>
      <w:tr w14:paraId="7A9136D4">
        <w:tblPrEx>
          <w:tblCellMar>
            <w:top w:w="0" w:type="dxa"/>
            <w:left w:w="0" w:type="dxa"/>
            <w:bottom w:w="0" w:type="dxa"/>
            <w:right w:w="0" w:type="dxa"/>
          </w:tblCellMar>
        </w:tblPrEx>
        <w:trPr>
          <w:trHeight w:val="276" w:hRule="atLeast"/>
          <w:jc w:val="center"/>
        </w:trPr>
        <w:tc>
          <w:tcPr>
            <w:tcW w:w="2357"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C8BBF57">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项目名称</w:t>
            </w:r>
          </w:p>
        </w:tc>
        <w:tc>
          <w:tcPr>
            <w:tcW w:w="7849" w:type="dxa"/>
            <w:gridSpan w:val="6"/>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51E5BAE">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“三馆一站”免费开放资金（自治区配套）</w:t>
            </w:r>
          </w:p>
        </w:tc>
      </w:tr>
      <w:tr w14:paraId="6997DC10">
        <w:tblPrEx>
          <w:tblCellMar>
            <w:top w:w="0" w:type="dxa"/>
            <w:left w:w="0" w:type="dxa"/>
            <w:bottom w:w="0" w:type="dxa"/>
            <w:right w:w="0" w:type="dxa"/>
          </w:tblCellMar>
        </w:tblPrEx>
        <w:trPr>
          <w:trHeight w:val="611" w:hRule="atLeast"/>
          <w:jc w:val="center"/>
        </w:trPr>
        <w:tc>
          <w:tcPr>
            <w:tcW w:w="2357"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3D0A10C">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主管部门</w:t>
            </w:r>
          </w:p>
        </w:tc>
        <w:tc>
          <w:tcPr>
            <w:tcW w:w="4141" w:type="dxa"/>
            <w:gridSpan w:val="4"/>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CF49D88">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自治区文化和旅游厅</w:t>
            </w:r>
          </w:p>
        </w:tc>
        <w:tc>
          <w:tcPr>
            <w:tcW w:w="134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EAF3400">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实施单位</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89BFFE5">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14个地、州、市文化和旅游局</w:t>
            </w:r>
          </w:p>
        </w:tc>
      </w:tr>
      <w:tr w14:paraId="6F4C5EBB">
        <w:tblPrEx>
          <w:tblCellMar>
            <w:top w:w="0" w:type="dxa"/>
            <w:left w:w="0" w:type="dxa"/>
            <w:bottom w:w="0" w:type="dxa"/>
            <w:right w:w="0" w:type="dxa"/>
          </w:tblCellMar>
        </w:tblPrEx>
        <w:trPr>
          <w:trHeight w:val="276" w:hRule="atLeast"/>
          <w:jc w:val="center"/>
        </w:trPr>
        <w:tc>
          <w:tcPr>
            <w:tcW w:w="2357" w:type="dxa"/>
            <w:gridSpan w:val="3"/>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910EAA8">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项目资金</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FDD2CE4">
            <w:pPr>
              <w:jc w:val="center"/>
              <w:rPr>
                <w:rFonts w:hint="eastAsia" w:asciiTheme="minorEastAsia" w:hAnsiTheme="minorEastAsia" w:eastAsiaTheme="minorEastAsia" w:cstheme="minorEastAsia"/>
                <w:sz w:val="20"/>
                <w:szCs w:val="20"/>
              </w:rPr>
            </w:pPr>
          </w:p>
        </w:tc>
        <w:tc>
          <w:tcPr>
            <w:tcW w:w="152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EEEBD05">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年初预算数</w:t>
            </w:r>
          </w:p>
        </w:tc>
        <w:tc>
          <w:tcPr>
            <w:tcW w:w="126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FC385BE">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全年预算数</w:t>
            </w:r>
          </w:p>
        </w:tc>
        <w:tc>
          <w:tcPr>
            <w:tcW w:w="134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109FAC6">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全年执行数</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3E12DC1">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执行率</w:t>
            </w:r>
          </w:p>
        </w:tc>
      </w:tr>
      <w:tr w14:paraId="2B1101FA">
        <w:tblPrEx>
          <w:tblCellMar>
            <w:top w:w="0" w:type="dxa"/>
            <w:left w:w="0" w:type="dxa"/>
            <w:bottom w:w="0" w:type="dxa"/>
            <w:right w:w="0" w:type="dxa"/>
          </w:tblCellMar>
        </w:tblPrEx>
        <w:trPr>
          <w:trHeight w:val="276" w:hRule="atLeast"/>
          <w:jc w:val="center"/>
        </w:trPr>
        <w:tc>
          <w:tcPr>
            <w:tcW w:w="2357"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7AF1064">
            <w:pPr>
              <w:jc w:val="center"/>
              <w:rPr>
                <w:rFonts w:hint="eastAsia" w:asciiTheme="minorEastAsia" w:hAnsiTheme="minorEastAsia" w:eastAsiaTheme="minorEastAsia" w:cstheme="minorEastAsia"/>
                <w:sz w:val="20"/>
                <w:szCs w:val="20"/>
              </w:rPr>
            </w:pPr>
          </w:p>
        </w:tc>
        <w:tc>
          <w:tcPr>
            <w:tcW w:w="13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BE72C7A">
            <w:pPr>
              <w:widowControl/>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年度资金总额</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B05E170">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1749</w:t>
            </w:r>
          </w:p>
        </w:tc>
        <w:tc>
          <w:tcPr>
            <w:tcW w:w="126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2E3A0EA">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1749</w:t>
            </w:r>
          </w:p>
        </w:tc>
        <w:tc>
          <w:tcPr>
            <w:tcW w:w="134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3393DF4">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1364.81</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7DF694D">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78.03</w:t>
            </w:r>
          </w:p>
        </w:tc>
      </w:tr>
      <w:tr w14:paraId="42289A0A">
        <w:tblPrEx>
          <w:tblCellMar>
            <w:top w:w="0" w:type="dxa"/>
            <w:left w:w="0" w:type="dxa"/>
            <w:bottom w:w="0" w:type="dxa"/>
            <w:right w:w="0" w:type="dxa"/>
          </w:tblCellMar>
        </w:tblPrEx>
        <w:trPr>
          <w:trHeight w:val="276" w:hRule="atLeast"/>
          <w:jc w:val="center"/>
        </w:trPr>
        <w:tc>
          <w:tcPr>
            <w:tcW w:w="2357"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13EC471">
            <w:pPr>
              <w:jc w:val="center"/>
              <w:rPr>
                <w:rFonts w:hint="eastAsia" w:asciiTheme="minorEastAsia" w:hAnsiTheme="minorEastAsia" w:eastAsiaTheme="minorEastAsia" w:cstheme="minorEastAsia"/>
                <w:sz w:val="20"/>
                <w:szCs w:val="20"/>
              </w:rPr>
            </w:pPr>
          </w:p>
        </w:tc>
        <w:tc>
          <w:tcPr>
            <w:tcW w:w="13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C02BAFB">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其中：当年财政拨款</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9D5E073">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1749</w:t>
            </w:r>
          </w:p>
        </w:tc>
        <w:tc>
          <w:tcPr>
            <w:tcW w:w="126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1C70C72">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1749</w:t>
            </w:r>
          </w:p>
        </w:tc>
        <w:tc>
          <w:tcPr>
            <w:tcW w:w="134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D492E2A">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1364.81</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4B263E6">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78.03</w:t>
            </w:r>
          </w:p>
        </w:tc>
      </w:tr>
      <w:tr w14:paraId="0BDFDF11">
        <w:tblPrEx>
          <w:tblCellMar>
            <w:top w:w="0" w:type="dxa"/>
            <w:left w:w="0" w:type="dxa"/>
            <w:bottom w:w="0" w:type="dxa"/>
            <w:right w:w="0" w:type="dxa"/>
          </w:tblCellMar>
        </w:tblPrEx>
        <w:trPr>
          <w:trHeight w:val="276" w:hRule="atLeast"/>
          <w:jc w:val="center"/>
        </w:trPr>
        <w:tc>
          <w:tcPr>
            <w:tcW w:w="2357"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0DD6C07">
            <w:pPr>
              <w:jc w:val="center"/>
              <w:rPr>
                <w:rFonts w:hint="eastAsia" w:asciiTheme="minorEastAsia" w:hAnsiTheme="minorEastAsia" w:eastAsiaTheme="minorEastAsia" w:cstheme="minorEastAsia"/>
                <w:sz w:val="20"/>
                <w:szCs w:val="20"/>
              </w:rPr>
            </w:pPr>
          </w:p>
        </w:tc>
        <w:tc>
          <w:tcPr>
            <w:tcW w:w="13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1807D87">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上年结转资金</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3ABD2CC">
            <w:pPr>
              <w:jc w:val="center"/>
              <w:rPr>
                <w:rFonts w:hint="eastAsia" w:asciiTheme="minorEastAsia" w:hAnsiTheme="minorEastAsia" w:eastAsiaTheme="minorEastAsia" w:cstheme="minorEastAsia"/>
                <w:sz w:val="20"/>
                <w:szCs w:val="20"/>
              </w:rPr>
            </w:pPr>
          </w:p>
        </w:tc>
        <w:tc>
          <w:tcPr>
            <w:tcW w:w="126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2830B8D">
            <w:pPr>
              <w:jc w:val="center"/>
              <w:rPr>
                <w:rFonts w:hint="eastAsia" w:asciiTheme="minorEastAsia" w:hAnsiTheme="minorEastAsia" w:eastAsiaTheme="minorEastAsia" w:cstheme="minorEastAsia"/>
                <w:sz w:val="20"/>
                <w:szCs w:val="20"/>
              </w:rPr>
            </w:pPr>
          </w:p>
        </w:tc>
        <w:tc>
          <w:tcPr>
            <w:tcW w:w="134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6176668">
            <w:pPr>
              <w:jc w:val="center"/>
              <w:rPr>
                <w:rFonts w:hint="eastAsia" w:asciiTheme="minorEastAsia" w:hAnsiTheme="minorEastAsia" w:eastAsiaTheme="minorEastAsia" w:cstheme="minorEastAsia"/>
                <w:sz w:val="20"/>
                <w:szCs w:val="20"/>
              </w:rPr>
            </w:pPr>
          </w:p>
        </w:tc>
        <w:tc>
          <w:tcPr>
            <w:tcW w:w="23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77925E0">
            <w:pPr>
              <w:jc w:val="center"/>
              <w:rPr>
                <w:rFonts w:hint="eastAsia" w:asciiTheme="minorEastAsia" w:hAnsiTheme="minorEastAsia" w:eastAsiaTheme="minorEastAsia" w:cstheme="minorEastAsia"/>
                <w:sz w:val="20"/>
                <w:szCs w:val="20"/>
              </w:rPr>
            </w:pPr>
          </w:p>
        </w:tc>
      </w:tr>
      <w:tr w14:paraId="7111B755">
        <w:tblPrEx>
          <w:tblCellMar>
            <w:top w:w="0" w:type="dxa"/>
            <w:left w:w="0" w:type="dxa"/>
            <w:bottom w:w="0" w:type="dxa"/>
            <w:right w:w="0" w:type="dxa"/>
          </w:tblCellMar>
        </w:tblPrEx>
        <w:trPr>
          <w:trHeight w:val="276" w:hRule="atLeast"/>
          <w:jc w:val="center"/>
        </w:trPr>
        <w:tc>
          <w:tcPr>
            <w:tcW w:w="2357"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68F6435">
            <w:pPr>
              <w:jc w:val="center"/>
              <w:rPr>
                <w:rFonts w:hint="eastAsia" w:asciiTheme="minorEastAsia" w:hAnsiTheme="minorEastAsia" w:eastAsiaTheme="minorEastAsia" w:cstheme="minorEastAsia"/>
                <w:sz w:val="20"/>
                <w:szCs w:val="20"/>
              </w:rPr>
            </w:pPr>
          </w:p>
        </w:tc>
        <w:tc>
          <w:tcPr>
            <w:tcW w:w="13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E07BE6B">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 xml:space="preserve">  其他资金</w:t>
            </w:r>
          </w:p>
        </w:tc>
        <w:tc>
          <w:tcPr>
            <w:tcW w:w="152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98CAD00">
            <w:pPr>
              <w:jc w:val="center"/>
              <w:rPr>
                <w:rFonts w:hint="eastAsia" w:asciiTheme="minorEastAsia" w:hAnsiTheme="minorEastAsia" w:eastAsiaTheme="minorEastAsia" w:cstheme="minorEastAsia"/>
                <w:sz w:val="20"/>
                <w:szCs w:val="20"/>
              </w:rPr>
            </w:pPr>
          </w:p>
        </w:tc>
        <w:tc>
          <w:tcPr>
            <w:tcW w:w="126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EC1F29D">
            <w:pPr>
              <w:jc w:val="center"/>
              <w:rPr>
                <w:rFonts w:hint="eastAsia" w:asciiTheme="minorEastAsia" w:hAnsiTheme="minorEastAsia" w:eastAsiaTheme="minorEastAsia" w:cstheme="minorEastAsia"/>
                <w:sz w:val="20"/>
                <w:szCs w:val="20"/>
              </w:rPr>
            </w:pPr>
          </w:p>
        </w:tc>
        <w:tc>
          <w:tcPr>
            <w:tcW w:w="134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E6AE5EB">
            <w:pPr>
              <w:jc w:val="center"/>
              <w:rPr>
                <w:rFonts w:hint="eastAsia" w:asciiTheme="minorEastAsia" w:hAnsiTheme="minorEastAsia" w:eastAsiaTheme="minorEastAsia" w:cstheme="minorEastAsia"/>
                <w:sz w:val="20"/>
                <w:szCs w:val="20"/>
              </w:rPr>
            </w:pPr>
          </w:p>
        </w:tc>
        <w:tc>
          <w:tcPr>
            <w:tcW w:w="23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F4F8D5F">
            <w:pPr>
              <w:jc w:val="center"/>
              <w:rPr>
                <w:rFonts w:hint="eastAsia" w:asciiTheme="minorEastAsia" w:hAnsiTheme="minorEastAsia" w:eastAsiaTheme="minorEastAsia" w:cstheme="minorEastAsia"/>
                <w:sz w:val="20"/>
                <w:szCs w:val="20"/>
              </w:rPr>
            </w:pPr>
          </w:p>
        </w:tc>
      </w:tr>
      <w:tr w14:paraId="255166D0">
        <w:tblPrEx>
          <w:tblCellMar>
            <w:top w:w="0" w:type="dxa"/>
            <w:left w:w="0" w:type="dxa"/>
            <w:bottom w:w="0" w:type="dxa"/>
            <w:right w:w="0" w:type="dxa"/>
          </w:tblCellMar>
        </w:tblPrEx>
        <w:trPr>
          <w:trHeight w:val="276" w:hRule="atLeast"/>
          <w:jc w:val="center"/>
        </w:trPr>
        <w:tc>
          <w:tcPr>
            <w:tcW w:w="705"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AAD3425">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年度总体目标</w:t>
            </w:r>
          </w:p>
        </w:tc>
        <w:tc>
          <w:tcPr>
            <w:tcW w:w="5793" w:type="dxa"/>
            <w:gridSpan w:val="6"/>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B91DEA0">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预期目标</w:t>
            </w:r>
          </w:p>
        </w:tc>
        <w:tc>
          <w:tcPr>
            <w:tcW w:w="370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1D5010E">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实际完成情况</w:t>
            </w:r>
          </w:p>
        </w:tc>
      </w:tr>
      <w:tr w14:paraId="1957F125">
        <w:tblPrEx>
          <w:tblCellMar>
            <w:top w:w="0" w:type="dxa"/>
            <w:left w:w="0" w:type="dxa"/>
            <w:bottom w:w="0" w:type="dxa"/>
            <w:right w:w="0" w:type="dxa"/>
          </w:tblCellMar>
        </w:tblPrEx>
        <w:trPr>
          <w:trHeight w:val="720" w:hRule="atLeast"/>
          <w:jc w:val="center"/>
        </w:trPr>
        <w:tc>
          <w:tcPr>
            <w:tcW w:w="705"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D8495E1">
            <w:pPr>
              <w:jc w:val="center"/>
              <w:rPr>
                <w:rFonts w:hint="eastAsia" w:asciiTheme="minorEastAsia" w:hAnsiTheme="minorEastAsia" w:eastAsiaTheme="minorEastAsia" w:cstheme="minorEastAsia"/>
                <w:sz w:val="20"/>
                <w:szCs w:val="20"/>
              </w:rPr>
            </w:pPr>
          </w:p>
        </w:tc>
        <w:tc>
          <w:tcPr>
            <w:tcW w:w="5793" w:type="dxa"/>
            <w:gridSpan w:val="6"/>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18E4A0C">
            <w:pPr>
              <w:widowControl/>
              <w:spacing w:line="240" w:lineRule="exac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贯彻落实党中央、自治区党委关于“推进美术馆、图书馆、文化馆（站）免费开放，丰富人民群众的精神文化生活”的要求，充分发挥“三馆一站”在提高公民鉴赏能力、提高各族群众思想道德和科学文化素质的作用，保障各族群众基本权益，促进社会和谐稳定。</w:t>
            </w:r>
          </w:p>
        </w:tc>
        <w:tc>
          <w:tcPr>
            <w:tcW w:w="370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6406B82">
            <w:pPr>
              <w:widowControl/>
              <w:spacing w:line="240" w:lineRule="exact"/>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完</w:t>
            </w:r>
            <w:r>
              <w:rPr>
                <w:rFonts w:hint="eastAsia" w:asciiTheme="minorEastAsia" w:hAnsiTheme="minorEastAsia" w:eastAsiaTheme="minorEastAsia" w:cstheme="minorEastAsia"/>
                <w:sz w:val="20"/>
                <w:szCs w:val="20"/>
              </w:rPr>
              <w:t>成我区美术馆、图书馆、文化馆（站）免费开放，丰富人民群众的精神文化生活，提高各族群众思想道德和科学文化素质的作用，保障各族群众基本权益，促进社会和谐稳定。</w:t>
            </w:r>
          </w:p>
        </w:tc>
      </w:tr>
      <w:tr w14:paraId="4987658E">
        <w:tblPrEx>
          <w:tblCellMar>
            <w:top w:w="0" w:type="dxa"/>
            <w:left w:w="0" w:type="dxa"/>
            <w:bottom w:w="0" w:type="dxa"/>
            <w:right w:w="0" w:type="dxa"/>
          </w:tblCellMar>
        </w:tblPrEx>
        <w:trPr>
          <w:trHeight w:val="408" w:hRule="atLeast"/>
          <w:jc w:val="center"/>
        </w:trPr>
        <w:tc>
          <w:tcPr>
            <w:tcW w:w="705"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306E62F">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绩效指标</w:t>
            </w:r>
          </w:p>
        </w:tc>
        <w:tc>
          <w:tcPr>
            <w:tcW w:w="555"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AE11420">
            <w:pPr>
              <w:widowControl/>
              <w:spacing w:line="24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一级指标</w:t>
            </w:r>
          </w:p>
        </w:tc>
        <w:tc>
          <w:tcPr>
            <w:tcW w:w="1097"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9F41DB2">
            <w:pPr>
              <w:widowControl/>
              <w:spacing w:line="24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二级指标</w:t>
            </w:r>
          </w:p>
        </w:tc>
        <w:tc>
          <w:tcPr>
            <w:tcW w:w="3188" w:type="dxa"/>
            <w:gridSpan w:val="3"/>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B168B9E">
            <w:pPr>
              <w:widowControl/>
              <w:spacing w:line="24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三级指标</w:t>
            </w:r>
          </w:p>
        </w:tc>
        <w:tc>
          <w:tcPr>
            <w:tcW w:w="953"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31C5A37">
            <w:pPr>
              <w:widowControl/>
              <w:spacing w:line="24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年度指标值</w:t>
            </w:r>
          </w:p>
        </w:tc>
        <w:tc>
          <w:tcPr>
            <w:tcW w:w="1348"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4649B93">
            <w:pPr>
              <w:widowControl/>
              <w:spacing w:line="24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实际完成值</w:t>
            </w:r>
          </w:p>
        </w:tc>
        <w:tc>
          <w:tcPr>
            <w:tcW w:w="236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84934D8">
            <w:pPr>
              <w:widowControl/>
              <w:spacing w:line="24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偏差原因分析及改进措施</w:t>
            </w:r>
          </w:p>
        </w:tc>
      </w:tr>
      <w:tr w14:paraId="61C6644B">
        <w:tblPrEx>
          <w:tblCellMar>
            <w:top w:w="0" w:type="dxa"/>
            <w:left w:w="0" w:type="dxa"/>
            <w:bottom w:w="0" w:type="dxa"/>
            <w:right w:w="0" w:type="dxa"/>
          </w:tblCellMar>
        </w:tblPrEx>
        <w:trPr>
          <w:trHeight w:val="408" w:hRule="atLeast"/>
          <w:jc w:val="center"/>
        </w:trPr>
        <w:tc>
          <w:tcPr>
            <w:tcW w:w="705"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869CE93">
            <w:pPr>
              <w:jc w:val="center"/>
              <w:rPr>
                <w:rFonts w:hint="eastAsia" w:asciiTheme="minorEastAsia" w:hAnsiTheme="minorEastAsia" w:eastAsiaTheme="minorEastAsia" w:cstheme="minorEastAsia"/>
                <w:sz w:val="20"/>
                <w:szCs w:val="20"/>
              </w:rPr>
            </w:pPr>
          </w:p>
        </w:tc>
        <w:tc>
          <w:tcPr>
            <w:tcW w:w="555"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31C5377">
            <w:pPr>
              <w:spacing w:line="240" w:lineRule="exact"/>
              <w:jc w:val="center"/>
              <w:rPr>
                <w:rFonts w:hint="eastAsia" w:asciiTheme="minorEastAsia" w:hAnsiTheme="minorEastAsia" w:eastAsiaTheme="minorEastAsia" w:cstheme="minorEastAsia"/>
                <w:sz w:val="20"/>
                <w:szCs w:val="20"/>
              </w:rPr>
            </w:pPr>
          </w:p>
        </w:tc>
        <w:tc>
          <w:tcPr>
            <w:tcW w:w="109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6BE5797">
            <w:pPr>
              <w:spacing w:line="240" w:lineRule="exact"/>
              <w:jc w:val="center"/>
              <w:rPr>
                <w:rFonts w:hint="eastAsia" w:asciiTheme="minorEastAsia" w:hAnsiTheme="minorEastAsia" w:eastAsiaTheme="minorEastAsia" w:cstheme="minorEastAsia"/>
                <w:sz w:val="20"/>
                <w:szCs w:val="20"/>
              </w:rPr>
            </w:pPr>
          </w:p>
        </w:tc>
        <w:tc>
          <w:tcPr>
            <w:tcW w:w="3188"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38C6A73">
            <w:pPr>
              <w:spacing w:line="240" w:lineRule="exact"/>
              <w:jc w:val="center"/>
              <w:rPr>
                <w:rFonts w:hint="eastAsia" w:asciiTheme="minorEastAsia" w:hAnsiTheme="minorEastAsia" w:eastAsiaTheme="minorEastAsia" w:cstheme="minorEastAsia"/>
                <w:sz w:val="20"/>
                <w:szCs w:val="20"/>
              </w:rPr>
            </w:pPr>
          </w:p>
        </w:tc>
        <w:tc>
          <w:tcPr>
            <w:tcW w:w="953"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5470091">
            <w:pPr>
              <w:spacing w:line="240" w:lineRule="exact"/>
              <w:jc w:val="center"/>
              <w:rPr>
                <w:rFonts w:hint="eastAsia" w:asciiTheme="minorEastAsia" w:hAnsiTheme="minorEastAsia" w:eastAsiaTheme="minorEastAsia" w:cstheme="minorEastAsia"/>
                <w:sz w:val="20"/>
                <w:szCs w:val="20"/>
              </w:rPr>
            </w:pPr>
          </w:p>
        </w:tc>
        <w:tc>
          <w:tcPr>
            <w:tcW w:w="1348"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1F1C39A">
            <w:pPr>
              <w:spacing w:line="240" w:lineRule="exact"/>
              <w:jc w:val="center"/>
              <w:rPr>
                <w:rFonts w:hint="eastAsia" w:asciiTheme="minorEastAsia" w:hAnsiTheme="minorEastAsia" w:eastAsiaTheme="minorEastAsia" w:cstheme="minorEastAsia"/>
                <w:sz w:val="20"/>
                <w:szCs w:val="20"/>
              </w:rPr>
            </w:pPr>
          </w:p>
        </w:tc>
        <w:tc>
          <w:tcPr>
            <w:tcW w:w="236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236E35F">
            <w:pPr>
              <w:spacing w:line="240" w:lineRule="exact"/>
              <w:jc w:val="center"/>
              <w:rPr>
                <w:rFonts w:hint="eastAsia" w:asciiTheme="minorEastAsia" w:hAnsiTheme="minorEastAsia" w:eastAsiaTheme="minorEastAsia" w:cstheme="minorEastAsia"/>
                <w:sz w:val="20"/>
                <w:szCs w:val="20"/>
              </w:rPr>
            </w:pPr>
          </w:p>
        </w:tc>
      </w:tr>
      <w:tr w14:paraId="7E8CC03F">
        <w:tblPrEx>
          <w:tblCellMar>
            <w:top w:w="0" w:type="dxa"/>
            <w:left w:w="0" w:type="dxa"/>
            <w:bottom w:w="0" w:type="dxa"/>
            <w:right w:w="0" w:type="dxa"/>
          </w:tblCellMar>
        </w:tblPrEx>
        <w:trPr>
          <w:trHeight w:val="483" w:hRule="atLeast"/>
          <w:jc w:val="center"/>
        </w:trPr>
        <w:tc>
          <w:tcPr>
            <w:tcW w:w="705"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FDEA4EF">
            <w:pPr>
              <w:jc w:val="center"/>
              <w:rPr>
                <w:rFonts w:hint="eastAsia" w:asciiTheme="minorEastAsia" w:hAnsiTheme="minorEastAsia" w:eastAsiaTheme="minorEastAsia" w:cstheme="minorEastAsia"/>
                <w:sz w:val="20"/>
                <w:szCs w:val="20"/>
              </w:rPr>
            </w:pPr>
          </w:p>
        </w:tc>
        <w:tc>
          <w:tcPr>
            <w:tcW w:w="555"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93C9C78">
            <w:pPr>
              <w:widowControl/>
              <w:spacing w:line="24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产出指标</w:t>
            </w:r>
          </w:p>
        </w:tc>
        <w:tc>
          <w:tcPr>
            <w:tcW w:w="1097"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59AB92B">
            <w:pPr>
              <w:widowControl/>
              <w:spacing w:line="24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数量指标</w:t>
            </w:r>
          </w:p>
        </w:tc>
        <w:tc>
          <w:tcPr>
            <w:tcW w:w="3188"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0C6DB05">
            <w:pPr>
              <w:spacing w:line="240" w:lineRule="exac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指标1：免费开放公共图书馆</w:t>
            </w:r>
          </w:p>
        </w:tc>
        <w:tc>
          <w:tcPr>
            <w:tcW w:w="9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670414C">
            <w:pPr>
              <w:spacing w:line="24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105个</w:t>
            </w:r>
          </w:p>
        </w:tc>
        <w:tc>
          <w:tcPr>
            <w:tcW w:w="134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0C64612">
            <w:pPr>
              <w:spacing w:line="24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106个</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5E5EA0A">
            <w:pPr>
              <w:spacing w:line="240" w:lineRule="exact"/>
              <w:jc w:val="center"/>
              <w:rPr>
                <w:rFonts w:hint="eastAsia" w:asciiTheme="minorEastAsia" w:hAnsiTheme="minorEastAsia" w:eastAsiaTheme="minorEastAsia" w:cstheme="minorEastAsia"/>
                <w:sz w:val="20"/>
                <w:szCs w:val="20"/>
              </w:rPr>
            </w:pPr>
          </w:p>
        </w:tc>
      </w:tr>
      <w:tr w14:paraId="5E0CFBE2">
        <w:tblPrEx>
          <w:tblCellMar>
            <w:top w:w="0" w:type="dxa"/>
            <w:left w:w="0" w:type="dxa"/>
            <w:bottom w:w="0" w:type="dxa"/>
            <w:right w:w="0" w:type="dxa"/>
          </w:tblCellMar>
        </w:tblPrEx>
        <w:trPr>
          <w:trHeight w:val="390" w:hRule="atLeast"/>
          <w:jc w:val="center"/>
        </w:trPr>
        <w:tc>
          <w:tcPr>
            <w:tcW w:w="705"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5180D9A">
            <w:pPr>
              <w:jc w:val="center"/>
              <w:rPr>
                <w:rFonts w:hint="eastAsia" w:asciiTheme="minorEastAsia" w:hAnsiTheme="minorEastAsia" w:eastAsiaTheme="minorEastAsia" w:cstheme="minorEastAsia"/>
                <w:sz w:val="20"/>
                <w:szCs w:val="20"/>
              </w:rPr>
            </w:pPr>
          </w:p>
        </w:tc>
        <w:tc>
          <w:tcPr>
            <w:tcW w:w="555"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FE8AC72">
            <w:pPr>
              <w:widowControl/>
              <w:spacing w:line="240" w:lineRule="exact"/>
              <w:jc w:val="center"/>
              <w:textAlignment w:val="center"/>
              <w:rPr>
                <w:rFonts w:hint="eastAsia" w:asciiTheme="minorEastAsia" w:hAnsiTheme="minorEastAsia" w:eastAsiaTheme="minorEastAsia" w:cstheme="minorEastAsia"/>
                <w:kern w:val="0"/>
                <w:sz w:val="20"/>
                <w:szCs w:val="20"/>
              </w:rPr>
            </w:pPr>
          </w:p>
        </w:tc>
        <w:tc>
          <w:tcPr>
            <w:tcW w:w="109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E03466D">
            <w:pPr>
              <w:widowControl/>
              <w:spacing w:line="240" w:lineRule="exact"/>
              <w:jc w:val="center"/>
              <w:textAlignment w:val="center"/>
              <w:rPr>
                <w:rFonts w:hint="eastAsia" w:asciiTheme="minorEastAsia" w:hAnsiTheme="minorEastAsia" w:eastAsiaTheme="minorEastAsia" w:cstheme="minorEastAsia"/>
                <w:kern w:val="0"/>
                <w:sz w:val="20"/>
                <w:szCs w:val="20"/>
              </w:rPr>
            </w:pPr>
          </w:p>
        </w:tc>
        <w:tc>
          <w:tcPr>
            <w:tcW w:w="3188"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D5A6FE2">
            <w:pPr>
              <w:spacing w:line="240" w:lineRule="exac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指标2：免费开放文化馆</w:t>
            </w:r>
          </w:p>
        </w:tc>
        <w:tc>
          <w:tcPr>
            <w:tcW w:w="9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C5C0418">
            <w:pPr>
              <w:spacing w:line="24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115个</w:t>
            </w:r>
          </w:p>
        </w:tc>
        <w:tc>
          <w:tcPr>
            <w:tcW w:w="134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32AA97B">
            <w:pPr>
              <w:spacing w:line="24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115个</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33108C4">
            <w:pPr>
              <w:spacing w:line="240" w:lineRule="exact"/>
              <w:jc w:val="center"/>
              <w:rPr>
                <w:rFonts w:hint="eastAsia" w:asciiTheme="minorEastAsia" w:hAnsiTheme="minorEastAsia" w:eastAsiaTheme="minorEastAsia" w:cstheme="minorEastAsia"/>
                <w:sz w:val="20"/>
                <w:szCs w:val="20"/>
              </w:rPr>
            </w:pPr>
          </w:p>
        </w:tc>
      </w:tr>
      <w:tr w14:paraId="47F58174">
        <w:tblPrEx>
          <w:tblCellMar>
            <w:top w:w="0" w:type="dxa"/>
            <w:left w:w="0" w:type="dxa"/>
            <w:bottom w:w="0" w:type="dxa"/>
            <w:right w:w="0" w:type="dxa"/>
          </w:tblCellMar>
        </w:tblPrEx>
        <w:trPr>
          <w:trHeight w:val="411" w:hRule="atLeast"/>
          <w:jc w:val="center"/>
        </w:trPr>
        <w:tc>
          <w:tcPr>
            <w:tcW w:w="705"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B6D607C">
            <w:pPr>
              <w:jc w:val="center"/>
              <w:rPr>
                <w:rFonts w:hint="eastAsia" w:asciiTheme="minorEastAsia" w:hAnsiTheme="minorEastAsia" w:eastAsiaTheme="minorEastAsia" w:cstheme="minorEastAsia"/>
                <w:sz w:val="20"/>
                <w:szCs w:val="20"/>
              </w:rPr>
            </w:pPr>
          </w:p>
        </w:tc>
        <w:tc>
          <w:tcPr>
            <w:tcW w:w="555"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3E1D4B7">
            <w:pPr>
              <w:widowControl/>
              <w:spacing w:line="240" w:lineRule="exact"/>
              <w:jc w:val="center"/>
              <w:textAlignment w:val="center"/>
              <w:rPr>
                <w:rFonts w:hint="eastAsia" w:asciiTheme="minorEastAsia" w:hAnsiTheme="minorEastAsia" w:eastAsiaTheme="minorEastAsia" w:cstheme="minorEastAsia"/>
                <w:kern w:val="0"/>
                <w:sz w:val="20"/>
                <w:szCs w:val="20"/>
              </w:rPr>
            </w:pPr>
          </w:p>
        </w:tc>
        <w:tc>
          <w:tcPr>
            <w:tcW w:w="109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2D33F69">
            <w:pPr>
              <w:widowControl/>
              <w:spacing w:line="240" w:lineRule="exact"/>
              <w:jc w:val="center"/>
              <w:textAlignment w:val="center"/>
              <w:rPr>
                <w:rFonts w:hint="eastAsia" w:asciiTheme="minorEastAsia" w:hAnsiTheme="minorEastAsia" w:eastAsiaTheme="minorEastAsia" w:cstheme="minorEastAsia"/>
                <w:kern w:val="0"/>
                <w:sz w:val="20"/>
                <w:szCs w:val="20"/>
              </w:rPr>
            </w:pPr>
          </w:p>
        </w:tc>
        <w:tc>
          <w:tcPr>
            <w:tcW w:w="3188"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8EA66F9">
            <w:pPr>
              <w:spacing w:line="240" w:lineRule="exac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指标3：免费开放美术馆</w:t>
            </w:r>
          </w:p>
        </w:tc>
        <w:tc>
          <w:tcPr>
            <w:tcW w:w="9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C422640">
            <w:pPr>
              <w:spacing w:line="24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56个</w:t>
            </w:r>
          </w:p>
        </w:tc>
        <w:tc>
          <w:tcPr>
            <w:tcW w:w="134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2350280">
            <w:pPr>
              <w:spacing w:line="24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56个</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D99B610">
            <w:pPr>
              <w:spacing w:line="240" w:lineRule="exact"/>
              <w:jc w:val="center"/>
              <w:rPr>
                <w:rFonts w:hint="eastAsia" w:asciiTheme="minorEastAsia" w:hAnsiTheme="minorEastAsia" w:eastAsiaTheme="minorEastAsia" w:cstheme="minorEastAsia"/>
                <w:sz w:val="20"/>
                <w:szCs w:val="20"/>
              </w:rPr>
            </w:pPr>
          </w:p>
        </w:tc>
      </w:tr>
      <w:tr w14:paraId="7A0FCDDE">
        <w:tblPrEx>
          <w:tblCellMar>
            <w:top w:w="0" w:type="dxa"/>
            <w:left w:w="0" w:type="dxa"/>
            <w:bottom w:w="0" w:type="dxa"/>
            <w:right w:w="0" w:type="dxa"/>
          </w:tblCellMar>
        </w:tblPrEx>
        <w:trPr>
          <w:trHeight w:val="537" w:hRule="atLeast"/>
          <w:jc w:val="center"/>
        </w:trPr>
        <w:tc>
          <w:tcPr>
            <w:tcW w:w="705"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7EF2980">
            <w:pPr>
              <w:jc w:val="center"/>
              <w:rPr>
                <w:rFonts w:hint="eastAsia" w:asciiTheme="minorEastAsia" w:hAnsiTheme="minorEastAsia" w:eastAsiaTheme="minorEastAsia" w:cstheme="minorEastAsia"/>
                <w:sz w:val="20"/>
                <w:szCs w:val="20"/>
              </w:rPr>
            </w:pPr>
          </w:p>
        </w:tc>
        <w:tc>
          <w:tcPr>
            <w:tcW w:w="555"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9BFA5B0">
            <w:pPr>
              <w:widowControl/>
              <w:spacing w:line="240" w:lineRule="exact"/>
              <w:jc w:val="center"/>
              <w:textAlignment w:val="center"/>
              <w:rPr>
                <w:rFonts w:hint="eastAsia" w:asciiTheme="minorEastAsia" w:hAnsiTheme="minorEastAsia" w:eastAsiaTheme="minorEastAsia" w:cstheme="minorEastAsia"/>
                <w:kern w:val="0"/>
                <w:sz w:val="20"/>
                <w:szCs w:val="20"/>
              </w:rPr>
            </w:pPr>
          </w:p>
        </w:tc>
        <w:tc>
          <w:tcPr>
            <w:tcW w:w="109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9E72EC9">
            <w:pPr>
              <w:widowControl/>
              <w:spacing w:line="240" w:lineRule="exact"/>
              <w:jc w:val="center"/>
              <w:textAlignment w:val="center"/>
              <w:rPr>
                <w:rFonts w:hint="eastAsia" w:asciiTheme="minorEastAsia" w:hAnsiTheme="minorEastAsia" w:eastAsiaTheme="minorEastAsia" w:cstheme="minorEastAsia"/>
                <w:kern w:val="0"/>
                <w:sz w:val="20"/>
                <w:szCs w:val="20"/>
              </w:rPr>
            </w:pPr>
          </w:p>
        </w:tc>
        <w:tc>
          <w:tcPr>
            <w:tcW w:w="3188"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C2BEB4A">
            <w:pPr>
              <w:spacing w:line="240" w:lineRule="exac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指标4：免费开放乡镇文化站</w:t>
            </w:r>
          </w:p>
        </w:tc>
        <w:tc>
          <w:tcPr>
            <w:tcW w:w="9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4FA3AF7">
            <w:pPr>
              <w:spacing w:line="24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943个</w:t>
            </w:r>
          </w:p>
        </w:tc>
        <w:tc>
          <w:tcPr>
            <w:tcW w:w="134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B26756E">
            <w:pPr>
              <w:spacing w:line="24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944个</w:t>
            </w:r>
          </w:p>
        </w:tc>
        <w:tc>
          <w:tcPr>
            <w:tcW w:w="236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7635169">
            <w:pPr>
              <w:spacing w:line="24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免费开放乡镇文化站和城市社区（街道）文化中心总数为1121个</w:t>
            </w:r>
          </w:p>
        </w:tc>
      </w:tr>
      <w:tr w14:paraId="4F48CDEA">
        <w:tblPrEx>
          <w:tblCellMar>
            <w:top w:w="0" w:type="dxa"/>
            <w:left w:w="0" w:type="dxa"/>
            <w:bottom w:w="0" w:type="dxa"/>
            <w:right w:w="0" w:type="dxa"/>
          </w:tblCellMar>
        </w:tblPrEx>
        <w:trPr>
          <w:trHeight w:val="545" w:hRule="atLeast"/>
          <w:jc w:val="center"/>
        </w:trPr>
        <w:tc>
          <w:tcPr>
            <w:tcW w:w="705"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55F7FAA">
            <w:pPr>
              <w:jc w:val="center"/>
              <w:rPr>
                <w:rFonts w:hint="eastAsia" w:asciiTheme="minorEastAsia" w:hAnsiTheme="minorEastAsia" w:eastAsiaTheme="minorEastAsia" w:cstheme="minorEastAsia"/>
                <w:sz w:val="20"/>
                <w:szCs w:val="20"/>
              </w:rPr>
            </w:pPr>
          </w:p>
        </w:tc>
        <w:tc>
          <w:tcPr>
            <w:tcW w:w="555"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49BF09A">
            <w:pPr>
              <w:widowControl/>
              <w:spacing w:line="240" w:lineRule="exact"/>
              <w:jc w:val="center"/>
              <w:textAlignment w:val="center"/>
              <w:rPr>
                <w:rFonts w:hint="eastAsia" w:asciiTheme="minorEastAsia" w:hAnsiTheme="minorEastAsia" w:eastAsiaTheme="minorEastAsia" w:cstheme="minorEastAsia"/>
                <w:kern w:val="0"/>
                <w:sz w:val="20"/>
                <w:szCs w:val="20"/>
              </w:rPr>
            </w:pPr>
          </w:p>
        </w:tc>
        <w:tc>
          <w:tcPr>
            <w:tcW w:w="109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C4FC625">
            <w:pPr>
              <w:widowControl/>
              <w:spacing w:line="240" w:lineRule="exact"/>
              <w:jc w:val="center"/>
              <w:textAlignment w:val="center"/>
              <w:rPr>
                <w:rFonts w:hint="eastAsia" w:asciiTheme="minorEastAsia" w:hAnsiTheme="minorEastAsia" w:eastAsiaTheme="minorEastAsia" w:cstheme="minorEastAsia"/>
                <w:kern w:val="0"/>
                <w:sz w:val="20"/>
                <w:szCs w:val="20"/>
              </w:rPr>
            </w:pPr>
          </w:p>
        </w:tc>
        <w:tc>
          <w:tcPr>
            <w:tcW w:w="3188"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31E0972">
            <w:pPr>
              <w:spacing w:line="240" w:lineRule="exac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指标5：城市社区（街道）文化中心</w:t>
            </w:r>
          </w:p>
        </w:tc>
        <w:tc>
          <w:tcPr>
            <w:tcW w:w="9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145F330">
            <w:pPr>
              <w:spacing w:line="24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178个</w:t>
            </w:r>
          </w:p>
        </w:tc>
        <w:tc>
          <w:tcPr>
            <w:tcW w:w="134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19BF180">
            <w:pPr>
              <w:spacing w:line="240" w:lineRule="exact"/>
              <w:jc w:val="center"/>
              <w:rPr>
                <w:rFonts w:hint="eastAsia" w:asciiTheme="minorEastAsia" w:hAnsiTheme="minorEastAsia" w:eastAsiaTheme="minorEastAsia" w:cstheme="minorEastAsia"/>
                <w:sz w:val="20"/>
                <w:szCs w:val="20"/>
                <w:highlight w:val="yellow"/>
              </w:rPr>
            </w:pPr>
            <w:r>
              <w:rPr>
                <w:rFonts w:hint="eastAsia" w:asciiTheme="minorEastAsia" w:hAnsiTheme="minorEastAsia" w:eastAsiaTheme="minorEastAsia" w:cstheme="minorEastAsia"/>
                <w:sz w:val="20"/>
                <w:szCs w:val="20"/>
              </w:rPr>
              <w:t>177个</w:t>
            </w:r>
          </w:p>
        </w:tc>
        <w:tc>
          <w:tcPr>
            <w:tcW w:w="236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CC81A47">
            <w:pPr>
              <w:spacing w:line="240" w:lineRule="exact"/>
              <w:jc w:val="center"/>
              <w:rPr>
                <w:rFonts w:hint="eastAsia" w:asciiTheme="minorEastAsia" w:hAnsiTheme="minorEastAsia" w:eastAsiaTheme="minorEastAsia" w:cstheme="minorEastAsia"/>
                <w:sz w:val="20"/>
                <w:szCs w:val="20"/>
                <w:highlight w:val="yellow"/>
              </w:rPr>
            </w:pPr>
          </w:p>
        </w:tc>
      </w:tr>
      <w:tr w14:paraId="011B533B">
        <w:tblPrEx>
          <w:tblCellMar>
            <w:top w:w="0" w:type="dxa"/>
            <w:left w:w="0" w:type="dxa"/>
            <w:bottom w:w="0" w:type="dxa"/>
            <w:right w:w="0" w:type="dxa"/>
          </w:tblCellMar>
        </w:tblPrEx>
        <w:trPr>
          <w:trHeight w:val="553" w:hRule="atLeast"/>
          <w:jc w:val="center"/>
        </w:trPr>
        <w:tc>
          <w:tcPr>
            <w:tcW w:w="705"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8FDC90D">
            <w:pPr>
              <w:jc w:val="center"/>
              <w:rPr>
                <w:rFonts w:hint="eastAsia" w:asciiTheme="minorEastAsia" w:hAnsiTheme="minorEastAsia" w:eastAsiaTheme="minorEastAsia" w:cstheme="minorEastAsia"/>
                <w:sz w:val="20"/>
                <w:szCs w:val="20"/>
              </w:rPr>
            </w:pPr>
          </w:p>
        </w:tc>
        <w:tc>
          <w:tcPr>
            <w:tcW w:w="555"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C96466B">
            <w:pPr>
              <w:widowControl/>
              <w:spacing w:line="240" w:lineRule="exact"/>
              <w:jc w:val="center"/>
              <w:textAlignment w:val="center"/>
              <w:rPr>
                <w:rFonts w:hint="eastAsia" w:asciiTheme="minorEastAsia" w:hAnsiTheme="minorEastAsia" w:eastAsiaTheme="minorEastAsia" w:cstheme="minorEastAsia"/>
                <w:kern w:val="0"/>
                <w:sz w:val="20"/>
                <w:szCs w:val="20"/>
              </w:rPr>
            </w:pPr>
          </w:p>
        </w:tc>
        <w:tc>
          <w:tcPr>
            <w:tcW w:w="10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1D4E4EE">
            <w:pPr>
              <w:widowControl/>
              <w:spacing w:line="240" w:lineRule="exact"/>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质量指标</w:t>
            </w:r>
          </w:p>
        </w:tc>
        <w:tc>
          <w:tcPr>
            <w:tcW w:w="3188"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2CA6B5F">
            <w:pPr>
              <w:spacing w:line="240" w:lineRule="exact"/>
              <w:jc w:val="lef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指标1：“三馆一站”免费开放覆盖率</w:t>
            </w:r>
          </w:p>
        </w:tc>
        <w:tc>
          <w:tcPr>
            <w:tcW w:w="9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954E7B2">
            <w:pPr>
              <w:spacing w:line="24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134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A7D89ED">
            <w:pPr>
              <w:spacing w:line="24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D65CB1F">
            <w:pPr>
              <w:spacing w:line="240" w:lineRule="exact"/>
              <w:jc w:val="center"/>
              <w:rPr>
                <w:rFonts w:hint="eastAsia" w:asciiTheme="minorEastAsia" w:hAnsiTheme="minorEastAsia" w:eastAsiaTheme="minorEastAsia" w:cstheme="minorEastAsia"/>
                <w:sz w:val="20"/>
                <w:szCs w:val="20"/>
              </w:rPr>
            </w:pPr>
          </w:p>
        </w:tc>
      </w:tr>
      <w:tr w14:paraId="097A311E">
        <w:tblPrEx>
          <w:tblCellMar>
            <w:top w:w="0" w:type="dxa"/>
            <w:left w:w="0" w:type="dxa"/>
            <w:bottom w:w="0" w:type="dxa"/>
            <w:right w:w="0" w:type="dxa"/>
          </w:tblCellMar>
        </w:tblPrEx>
        <w:trPr>
          <w:trHeight w:val="573" w:hRule="atLeast"/>
          <w:jc w:val="center"/>
        </w:trPr>
        <w:tc>
          <w:tcPr>
            <w:tcW w:w="705"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ECA5AD9">
            <w:pPr>
              <w:jc w:val="center"/>
              <w:rPr>
                <w:rFonts w:hint="eastAsia" w:asciiTheme="minorEastAsia" w:hAnsiTheme="minorEastAsia" w:eastAsiaTheme="minorEastAsia" w:cstheme="minorEastAsia"/>
                <w:sz w:val="20"/>
                <w:szCs w:val="20"/>
              </w:rPr>
            </w:pPr>
          </w:p>
        </w:tc>
        <w:tc>
          <w:tcPr>
            <w:tcW w:w="555"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737308D">
            <w:pPr>
              <w:spacing w:line="240" w:lineRule="exact"/>
              <w:jc w:val="center"/>
              <w:rPr>
                <w:rFonts w:hint="eastAsia" w:asciiTheme="minorEastAsia" w:hAnsiTheme="minorEastAsia" w:eastAsiaTheme="minorEastAsia" w:cstheme="minorEastAsia"/>
                <w:sz w:val="20"/>
                <w:szCs w:val="20"/>
              </w:rPr>
            </w:pPr>
          </w:p>
        </w:tc>
        <w:tc>
          <w:tcPr>
            <w:tcW w:w="1097"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F5C7607">
            <w:pPr>
              <w:spacing w:line="24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成本指标</w:t>
            </w:r>
          </w:p>
        </w:tc>
        <w:tc>
          <w:tcPr>
            <w:tcW w:w="3188"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B518D8A">
            <w:pPr>
              <w:spacing w:line="240" w:lineRule="exac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指标1：地市级公共图书馆、美术馆、文化馆每馆每年补助标准(50万*0.2)</w:t>
            </w:r>
          </w:p>
        </w:tc>
        <w:tc>
          <w:tcPr>
            <w:tcW w:w="9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878403D">
            <w:pPr>
              <w:spacing w:line="24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10万元</w:t>
            </w:r>
          </w:p>
        </w:tc>
        <w:tc>
          <w:tcPr>
            <w:tcW w:w="134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E8F43F4">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10万元</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B404489">
            <w:pPr>
              <w:spacing w:line="240" w:lineRule="exact"/>
              <w:jc w:val="center"/>
              <w:rPr>
                <w:rFonts w:hint="eastAsia" w:asciiTheme="minorEastAsia" w:hAnsiTheme="minorEastAsia" w:eastAsiaTheme="minorEastAsia" w:cstheme="minorEastAsia"/>
                <w:sz w:val="20"/>
                <w:szCs w:val="20"/>
              </w:rPr>
            </w:pPr>
          </w:p>
        </w:tc>
      </w:tr>
      <w:tr w14:paraId="43DD95A8">
        <w:tblPrEx>
          <w:tblCellMar>
            <w:top w:w="0" w:type="dxa"/>
            <w:left w:w="0" w:type="dxa"/>
            <w:bottom w:w="0" w:type="dxa"/>
            <w:right w:w="0" w:type="dxa"/>
          </w:tblCellMar>
        </w:tblPrEx>
        <w:trPr>
          <w:trHeight w:val="836" w:hRule="atLeast"/>
          <w:jc w:val="center"/>
        </w:trPr>
        <w:tc>
          <w:tcPr>
            <w:tcW w:w="705"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E887638">
            <w:pPr>
              <w:jc w:val="center"/>
              <w:rPr>
                <w:rFonts w:hint="eastAsia" w:asciiTheme="minorEastAsia" w:hAnsiTheme="minorEastAsia" w:eastAsiaTheme="minorEastAsia" w:cstheme="minorEastAsia"/>
                <w:sz w:val="20"/>
                <w:szCs w:val="20"/>
              </w:rPr>
            </w:pPr>
          </w:p>
        </w:tc>
        <w:tc>
          <w:tcPr>
            <w:tcW w:w="555"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690EB9C">
            <w:pPr>
              <w:spacing w:line="240" w:lineRule="exact"/>
              <w:jc w:val="center"/>
              <w:rPr>
                <w:rFonts w:hint="eastAsia" w:asciiTheme="minorEastAsia" w:hAnsiTheme="minorEastAsia" w:eastAsiaTheme="minorEastAsia" w:cstheme="minorEastAsia"/>
                <w:sz w:val="20"/>
                <w:szCs w:val="20"/>
              </w:rPr>
            </w:pPr>
          </w:p>
        </w:tc>
        <w:tc>
          <w:tcPr>
            <w:tcW w:w="109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5C272FA">
            <w:pPr>
              <w:spacing w:line="240" w:lineRule="exact"/>
              <w:jc w:val="center"/>
              <w:textAlignment w:val="center"/>
              <w:rPr>
                <w:rFonts w:hint="eastAsia" w:asciiTheme="minorEastAsia" w:hAnsiTheme="minorEastAsia" w:eastAsiaTheme="minorEastAsia" w:cstheme="minorEastAsia"/>
                <w:sz w:val="20"/>
                <w:szCs w:val="20"/>
              </w:rPr>
            </w:pPr>
          </w:p>
        </w:tc>
        <w:tc>
          <w:tcPr>
            <w:tcW w:w="3188"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18E6002">
            <w:pPr>
              <w:spacing w:line="240" w:lineRule="exac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指标2：县市级公共图书馆、美术馆、文化馆每馆每年补助标准(20万*0.2)</w:t>
            </w:r>
          </w:p>
        </w:tc>
        <w:tc>
          <w:tcPr>
            <w:tcW w:w="9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D55EDE2">
            <w:pPr>
              <w:spacing w:line="24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4万元</w:t>
            </w:r>
          </w:p>
        </w:tc>
        <w:tc>
          <w:tcPr>
            <w:tcW w:w="134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00F1375">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4万元</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612C177">
            <w:pPr>
              <w:spacing w:line="240" w:lineRule="exact"/>
              <w:jc w:val="center"/>
              <w:rPr>
                <w:rFonts w:hint="eastAsia" w:asciiTheme="minorEastAsia" w:hAnsiTheme="minorEastAsia" w:eastAsiaTheme="minorEastAsia" w:cstheme="minorEastAsia"/>
                <w:sz w:val="20"/>
                <w:szCs w:val="20"/>
              </w:rPr>
            </w:pPr>
          </w:p>
        </w:tc>
      </w:tr>
      <w:tr w14:paraId="33515985">
        <w:tblPrEx>
          <w:tblCellMar>
            <w:top w:w="0" w:type="dxa"/>
            <w:left w:w="0" w:type="dxa"/>
            <w:bottom w:w="0" w:type="dxa"/>
            <w:right w:w="0" w:type="dxa"/>
          </w:tblCellMar>
        </w:tblPrEx>
        <w:trPr>
          <w:trHeight w:val="566" w:hRule="atLeast"/>
          <w:jc w:val="center"/>
        </w:trPr>
        <w:tc>
          <w:tcPr>
            <w:tcW w:w="705"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2552979">
            <w:pPr>
              <w:jc w:val="center"/>
              <w:rPr>
                <w:rFonts w:hint="eastAsia" w:asciiTheme="minorEastAsia" w:hAnsiTheme="minorEastAsia" w:eastAsiaTheme="minorEastAsia" w:cstheme="minorEastAsia"/>
                <w:sz w:val="20"/>
                <w:szCs w:val="20"/>
              </w:rPr>
            </w:pPr>
          </w:p>
        </w:tc>
        <w:tc>
          <w:tcPr>
            <w:tcW w:w="555"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1F22339">
            <w:pPr>
              <w:spacing w:line="240" w:lineRule="exact"/>
              <w:jc w:val="center"/>
              <w:rPr>
                <w:rFonts w:hint="eastAsia" w:asciiTheme="minorEastAsia" w:hAnsiTheme="minorEastAsia" w:eastAsiaTheme="minorEastAsia" w:cstheme="minorEastAsia"/>
                <w:sz w:val="20"/>
                <w:szCs w:val="20"/>
              </w:rPr>
            </w:pPr>
          </w:p>
        </w:tc>
        <w:tc>
          <w:tcPr>
            <w:tcW w:w="109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E636764">
            <w:pPr>
              <w:widowControl/>
              <w:spacing w:line="240" w:lineRule="exact"/>
              <w:jc w:val="center"/>
              <w:textAlignment w:val="center"/>
              <w:rPr>
                <w:rFonts w:hint="eastAsia" w:asciiTheme="minorEastAsia" w:hAnsiTheme="minorEastAsia" w:eastAsiaTheme="minorEastAsia" w:cstheme="minorEastAsia"/>
                <w:sz w:val="20"/>
                <w:szCs w:val="20"/>
              </w:rPr>
            </w:pPr>
          </w:p>
        </w:tc>
        <w:tc>
          <w:tcPr>
            <w:tcW w:w="3188"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5EFA126">
            <w:pPr>
              <w:spacing w:line="240" w:lineRule="exac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指标3：乡镇（街道）综合文化站（中心）每年补助标准(5万*0.2)</w:t>
            </w:r>
          </w:p>
        </w:tc>
        <w:tc>
          <w:tcPr>
            <w:tcW w:w="9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DA0339E">
            <w:pPr>
              <w:spacing w:line="24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1万元</w:t>
            </w:r>
          </w:p>
        </w:tc>
        <w:tc>
          <w:tcPr>
            <w:tcW w:w="134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049CC49">
            <w:pPr>
              <w:spacing w:line="24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1万元</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D66F6A7">
            <w:pPr>
              <w:spacing w:line="240" w:lineRule="exact"/>
              <w:jc w:val="center"/>
              <w:rPr>
                <w:rFonts w:hint="eastAsia" w:asciiTheme="minorEastAsia" w:hAnsiTheme="minorEastAsia" w:eastAsiaTheme="minorEastAsia" w:cstheme="minorEastAsia"/>
                <w:sz w:val="20"/>
                <w:szCs w:val="20"/>
              </w:rPr>
            </w:pPr>
          </w:p>
        </w:tc>
      </w:tr>
      <w:tr w14:paraId="63989F1D">
        <w:tblPrEx>
          <w:tblCellMar>
            <w:top w:w="0" w:type="dxa"/>
            <w:left w:w="0" w:type="dxa"/>
            <w:bottom w:w="0" w:type="dxa"/>
            <w:right w:w="0" w:type="dxa"/>
          </w:tblCellMar>
        </w:tblPrEx>
        <w:trPr>
          <w:trHeight w:val="445" w:hRule="atLeast"/>
          <w:jc w:val="center"/>
        </w:trPr>
        <w:tc>
          <w:tcPr>
            <w:tcW w:w="705"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AC75FF5">
            <w:pPr>
              <w:jc w:val="center"/>
              <w:rPr>
                <w:rFonts w:hint="eastAsia" w:asciiTheme="minorEastAsia" w:hAnsiTheme="minorEastAsia" w:eastAsiaTheme="minorEastAsia" w:cstheme="minorEastAsia"/>
                <w:sz w:val="20"/>
                <w:szCs w:val="20"/>
              </w:rPr>
            </w:pPr>
          </w:p>
        </w:tc>
        <w:tc>
          <w:tcPr>
            <w:tcW w:w="555"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5879487">
            <w:pPr>
              <w:widowControl/>
              <w:spacing w:line="24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效益指标</w:t>
            </w:r>
          </w:p>
        </w:tc>
        <w:tc>
          <w:tcPr>
            <w:tcW w:w="10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521D71F">
            <w:pPr>
              <w:widowControl/>
              <w:spacing w:line="24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社会效益指标</w:t>
            </w:r>
          </w:p>
        </w:tc>
        <w:tc>
          <w:tcPr>
            <w:tcW w:w="3188"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72B303D">
            <w:pPr>
              <w:spacing w:line="240" w:lineRule="exac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指标1：保障群众精神文化需求</w:t>
            </w:r>
          </w:p>
        </w:tc>
        <w:tc>
          <w:tcPr>
            <w:tcW w:w="9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F4DEA29">
            <w:pPr>
              <w:spacing w:line="24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有效保障</w:t>
            </w:r>
          </w:p>
        </w:tc>
        <w:tc>
          <w:tcPr>
            <w:tcW w:w="134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6DC8878">
            <w:pPr>
              <w:spacing w:line="24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有效保障</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6F43BF9">
            <w:pPr>
              <w:spacing w:line="240" w:lineRule="exact"/>
              <w:jc w:val="center"/>
              <w:rPr>
                <w:rFonts w:hint="eastAsia" w:asciiTheme="minorEastAsia" w:hAnsiTheme="minorEastAsia" w:eastAsiaTheme="minorEastAsia" w:cstheme="minorEastAsia"/>
                <w:sz w:val="20"/>
                <w:szCs w:val="20"/>
              </w:rPr>
            </w:pPr>
          </w:p>
        </w:tc>
      </w:tr>
      <w:tr w14:paraId="01748CD2">
        <w:tblPrEx>
          <w:tblCellMar>
            <w:top w:w="0" w:type="dxa"/>
            <w:left w:w="0" w:type="dxa"/>
            <w:bottom w:w="0" w:type="dxa"/>
            <w:right w:w="0" w:type="dxa"/>
          </w:tblCellMar>
        </w:tblPrEx>
        <w:trPr>
          <w:trHeight w:val="523" w:hRule="atLeast"/>
          <w:jc w:val="center"/>
        </w:trPr>
        <w:tc>
          <w:tcPr>
            <w:tcW w:w="705"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94F6BA2">
            <w:pPr>
              <w:jc w:val="center"/>
              <w:rPr>
                <w:rFonts w:hint="eastAsia" w:asciiTheme="minorEastAsia" w:hAnsiTheme="minorEastAsia" w:eastAsiaTheme="minorEastAsia" w:cstheme="minorEastAsia"/>
                <w:sz w:val="20"/>
                <w:szCs w:val="20"/>
              </w:rPr>
            </w:pPr>
          </w:p>
        </w:tc>
        <w:tc>
          <w:tcPr>
            <w:tcW w:w="555"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C54F89A">
            <w:pPr>
              <w:widowControl/>
              <w:spacing w:line="240" w:lineRule="exact"/>
              <w:jc w:val="center"/>
              <w:textAlignment w:val="center"/>
              <w:rPr>
                <w:rFonts w:hint="eastAsia" w:asciiTheme="minorEastAsia" w:hAnsiTheme="minorEastAsia" w:eastAsiaTheme="minorEastAsia" w:cstheme="minorEastAsia"/>
                <w:kern w:val="0"/>
                <w:sz w:val="20"/>
                <w:szCs w:val="20"/>
              </w:rPr>
            </w:pPr>
          </w:p>
        </w:tc>
        <w:tc>
          <w:tcPr>
            <w:tcW w:w="10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0A05043">
            <w:pPr>
              <w:widowControl/>
              <w:spacing w:line="240" w:lineRule="exact"/>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可持续影响指标</w:t>
            </w:r>
          </w:p>
        </w:tc>
        <w:tc>
          <w:tcPr>
            <w:tcW w:w="3188"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2892E17">
            <w:pPr>
              <w:spacing w:line="240" w:lineRule="exac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指标1：弘扬传承中华优秀传统文化</w:t>
            </w:r>
          </w:p>
        </w:tc>
        <w:tc>
          <w:tcPr>
            <w:tcW w:w="9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ED9A03E">
            <w:pPr>
              <w:spacing w:line="24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有效保障</w:t>
            </w:r>
          </w:p>
        </w:tc>
        <w:tc>
          <w:tcPr>
            <w:tcW w:w="134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CEB36D0">
            <w:pPr>
              <w:spacing w:line="24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有效保障</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BAF326C">
            <w:pPr>
              <w:spacing w:line="240" w:lineRule="exact"/>
              <w:jc w:val="center"/>
              <w:rPr>
                <w:rFonts w:hint="eastAsia" w:asciiTheme="minorEastAsia" w:hAnsiTheme="minorEastAsia" w:eastAsiaTheme="minorEastAsia" w:cstheme="minorEastAsia"/>
                <w:sz w:val="20"/>
                <w:szCs w:val="20"/>
              </w:rPr>
            </w:pPr>
          </w:p>
        </w:tc>
      </w:tr>
      <w:tr w14:paraId="63496BDC">
        <w:tblPrEx>
          <w:tblCellMar>
            <w:top w:w="0" w:type="dxa"/>
            <w:left w:w="0" w:type="dxa"/>
            <w:bottom w:w="0" w:type="dxa"/>
            <w:right w:w="0" w:type="dxa"/>
          </w:tblCellMar>
        </w:tblPrEx>
        <w:trPr>
          <w:trHeight w:val="432" w:hRule="atLeast"/>
          <w:jc w:val="center"/>
        </w:trPr>
        <w:tc>
          <w:tcPr>
            <w:tcW w:w="705"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8DE2BD7">
            <w:pPr>
              <w:jc w:val="center"/>
              <w:rPr>
                <w:rFonts w:hint="eastAsia" w:asciiTheme="minorEastAsia" w:hAnsiTheme="minorEastAsia" w:eastAsiaTheme="minorEastAsia" w:cstheme="minorEastAsia"/>
                <w:sz w:val="20"/>
                <w:szCs w:val="20"/>
              </w:rPr>
            </w:pPr>
          </w:p>
        </w:tc>
        <w:tc>
          <w:tcPr>
            <w:tcW w:w="55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8B7D8EF">
            <w:pPr>
              <w:widowControl/>
              <w:spacing w:line="24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满意度</w:t>
            </w:r>
          </w:p>
        </w:tc>
        <w:tc>
          <w:tcPr>
            <w:tcW w:w="10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68D69E7">
            <w:pPr>
              <w:widowControl/>
              <w:spacing w:line="24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服务对象满意度指标</w:t>
            </w:r>
          </w:p>
        </w:tc>
        <w:tc>
          <w:tcPr>
            <w:tcW w:w="3188"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F88C8E6">
            <w:pPr>
              <w:spacing w:line="240" w:lineRule="exact"/>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指标1：社会公众对“三馆一站”公共文化服务满意度</w:t>
            </w:r>
          </w:p>
        </w:tc>
        <w:tc>
          <w:tcPr>
            <w:tcW w:w="9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CEE3092">
            <w:pPr>
              <w:spacing w:line="24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≥85%</w:t>
            </w:r>
          </w:p>
        </w:tc>
        <w:tc>
          <w:tcPr>
            <w:tcW w:w="134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47D42AC">
            <w:pPr>
              <w:spacing w:line="24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90%</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1F9C8A0">
            <w:pPr>
              <w:spacing w:line="240" w:lineRule="exact"/>
              <w:jc w:val="center"/>
              <w:rPr>
                <w:rFonts w:hint="eastAsia" w:asciiTheme="minorEastAsia" w:hAnsiTheme="minorEastAsia" w:eastAsiaTheme="minorEastAsia" w:cstheme="minorEastAsia"/>
                <w:sz w:val="20"/>
                <w:szCs w:val="20"/>
              </w:rPr>
            </w:pPr>
          </w:p>
        </w:tc>
      </w:tr>
    </w:tbl>
    <w:p w14:paraId="07C44BE9">
      <w:pPr>
        <w:pStyle w:val="2"/>
        <w:jc w:val="both"/>
        <w:rPr>
          <w:rFonts w:ascii="Times New Roman" w:hAnsi="Times New Roman"/>
        </w:rPr>
        <w:sectPr>
          <w:pgSz w:w="11906" w:h="16838"/>
          <w:pgMar w:top="1440" w:right="1558" w:bottom="1440" w:left="1800" w:header="851" w:footer="992" w:gutter="0"/>
          <w:cols w:space="425" w:num="1"/>
          <w:docGrid w:type="lines" w:linePitch="312" w:charSpace="0"/>
        </w:sectPr>
      </w:pPr>
    </w:p>
    <w:p w14:paraId="51B93568">
      <w:pPr>
        <w:spacing w:line="600" w:lineRule="exact"/>
        <w:rPr>
          <w:rFonts w:ascii="黑体" w:hAnsi="黑体" w:eastAsia="黑体"/>
          <w:bCs/>
          <w:sz w:val="32"/>
          <w:szCs w:val="32"/>
        </w:rPr>
      </w:pPr>
      <w:r>
        <w:rPr>
          <w:rFonts w:ascii="黑体" w:hAnsi="黑体" w:eastAsia="黑体"/>
          <w:bCs/>
          <w:sz w:val="32"/>
          <w:szCs w:val="32"/>
        </w:rPr>
        <w:t>附件1</w:t>
      </w:r>
    </w:p>
    <w:tbl>
      <w:tblPr>
        <w:tblStyle w:val="21"/>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626"/>
        <w:gridCol w:w="627"/>
        <w:gridCol w:w="688"/>
        <w:gridCol w:w="4305"/>
        <w:gridCol w:w="6889"/>
        <w:gridCol w:w="500"/>
        <w:gridCol w:w="539"/>
      </w:tblGrid>
      <w:tr w14:paraId="3B24A2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0" w:type="auto"/>
            <w:shd w:val="clear" w:color="auto" w:fill="FFFFFF"/>
            <w:vAlign w:val="center"/>
          </w:tcPr>
          <w:p w14:paraId="39789CB2">
            <w:pPr>
              <w:widowControl/>
              <w:spacing w:line="0" w:lineRule="atLeast"/>
              <w:jc w:val="center"/>
              <w:rPr>
                <w:b/>
                <w:bCs/>
                <w:color w:val="000000"/>
                <w:kern w:val="0"/>
                <w:sz w:val="22"/>
                <w:szCs w:val="22"/>
              </w:rPr>
            </w:pPr>
            <w:bookmarkStart w:id="2" w:name="_GoBack"/>
            <w:r>
              <w:rPr>
                <w:b/>
                <w:bCs/>
                <w:color w:val="000000"/>
                <w:kern w:val="0"/>
                <w:sz w:val="22"/>
                <w:szCs w:val="22"/>
              </w:rPr>
              <w:t>一级指标</w:t>
            </w:r>
          </w:p>
        </w:tc>
        <w:tc>
          <w:tcPr>
            <w:tcW w:w="0" w:type="auto"/>
            <w:shd w:val="clear" w:color="auto" w:fill="FFFFFF"/>
            <w:vAlign w:val="center"/>
          </w:tcPr>
          <w:p w14:paraId="3168B4E9">
            <w:pPr>
              <w:widowControl/>
              <w:spacing w:line="0" w:lineRule="atLeast"/>
              <w:jc w:val="center"/>
              <w:rPr>
                <w:b/>
                <w:bCs/>
                <w:color w:val="000000"/>
                <w:kern w:val="0"/>
                <w:sz w:val="22"/>
                <w:szCs w:val="22"/>
              </w:rPr>
            </w:pPr>
            <w:r>
              <w:rPr>
                <w:b/>
                <w:bCs/>
                <w:color w:val="000000"/>
                <w:kern w:val="0"/>
                <w:sz w:val="22"/>
                <w:szCs w:val="22"/>
              </w:rPr>
              <w:t>二级指标</w:t>
            </w:r>
          </w:p>
        </w:tc>
        <w:tc>
          <w:tcPr>
            <w:tcW w:w="0" w:type="auto"/>
            <w:shd w:val="clear" w:color="auto" w:fill="FFFFFF"/>
            <w:vAlign w:val="center"/>
          </w:tcPr>
          <w:p w14:paraId="2A8D7AB5">
            <w:pPr>
              <w:widowControl/>
              <w:spacing w:line="0" w:lineRule="atLeast"/>
              <w:jc w:val="center"/>
              <w:rPr>
                <w:b/>
                <w:bCs/>
                <w:color w:val="000000"/>
                <w:kern w:val="0"/>
                <w:sz w:val="22"/>
                <w:szCs w:val="22"/>
              </w:rPr>
            </w:pPr>
            <w:r>
              <w:rPr>
                <w:b/>
                <w:bCs/>
                <w:color w:val="000000"/>
                <w:kern w:val="0"/>
                <w:sz w:val="22"/>
                <w:szCs w:val="22"/>
              </w:rPr>
              <w:t>三级指标</w:t>
            </w:r>
          </w:p>
        </w:tc>
        <w:tc>
          <w:tcPr>
            <w:tcW w:w="0" w:type="auto"/>
            <w:shd w:val="clear" w:color="auto" w:fill="FFFFFF"/>
            <w:vAlign w:val="center"/>
          </w:tcPr>
          <w:p w14:paraId="2F589DA2">
            <w:pPr>
              <w:widowControl/>
              <w:spacing w:line="0" w:lineRule="atLeast"/>
              <w:jc w:val="center"/>
              <w:rPr>
                <w:b/>
                <w:bCs/>
                <w:color w:val="000000"/>
                <w:kern w:val="0"/>
                <w:sz w:val="22"/>
                <w:szCs w:val="22"/>
              </w:rPr>
            </w:pPr>
            <w:r>
              <w:rPr>
                <w:b/>
                <w:bCs/>
                <w:color w:val="000000"/>
                <w:kern w:val="0"/>
                <w:sz w:val="22"/>
                <w:szCs w:val="22"/>
              </w:rPr>
              <w:t>指标解释</w:t>
            </w:r>
          </w:p>
        </w:tc>
        <w:tc>
          <w:tcPr>
            <w:tcW w:w="0" w:type="auto"/>
            <w:shd w:val="clear" w:color="auto" w:fill="FFFFFF"/>
            <w:vAlign w:val="center"/>
          </w:tcPr>
          <w:p w14:paraId="78DDD74C">
            <w:pPr>
              <w:widowControl/>
              <w:spacing w:line="0" w:lineRule="atLeast"/>
              <w:jc w:val="center"/>
              <w:rPr>
                <w:b/>
                <w:bCs/>
                <w:color w:val="000000"/>
                <w:kern w:val="0"/>
                <w:sz w:val="22"/>
                <w:szCs w:val="22"/>
              </w:rPr>
            </w:pPr>
            <w:r>
              <w:rPr>
                <w:b/>
                <w:bCs/>
                <w:color w:val="000000"/>
                <w:kern w:val="0"/>
                <w:sz w:val="22"/>
                <w:szCs w:val="22"/>
              </w:rPr>
              <w:t>指标说明</w:t>
            </w:r>
          </w:p>
        </w:tc>
        <w:tc>
          <w:tcPr>
            <w:tcW w:w="0" w:type="auto"/>
            <w:shd w:val="clear" w:color="auto" w:fill="FFFFFF"/>
            <w:vAlign w:val="center"/>
          </w:tcPr>
          <w:p w14:paraId="193F3656">
            <w:pPr>
              <w:widowControl/>
              <w:spacing w:line="0" w:lineRule="atLeast"/>
              <w:jc w:val="center"/>
              <w:rPr>
                <w:b/>
                <w:bCs/>
                <w:color w:val="000000"/>
                <w:kern w:val="0"/>
                <w:sz w:val="22"/>
                <w:szCs w:val="22"/>
              </w:rPr>
            </w:pPr>
            <w:r>
              <w:rPr>
                <w:b/>
                <w:bCs/>
                <w:color w:val="000000"/>
                <w:kern w:val="0"/>
                <w:sz w:val="22"/>
                <w:szCs w:val="22"/>
              </w:rPr>
              <w:t>权重</w:t>
            </w:r>
          </w:p>
        </w:tc>
        <w:tc>
          <w:tcPr>
            <w:tcW w:w="0" w:type="auto"/>
            <w:shd w:val="clear" w:color="auto" w:fill="FFFFFF"/>
            <w:vAlign w:val="center"/>
          </w:tcPr>
          <w:p w14:paraId="0F3118C6">
            <w:pPr>
              <w:widowControl/>
              <w:spacing w:line="0" w:lineRule="atLeast"/>
              <w:jc w:val="center"/>
              <w:rPr>
                <w:b/>
                <w:bCs/>
                <w:color w:val="000000"/>
                <w:kern w:val="0"/>
                <w:sz w:val="22"/>
                <w:szCs w:val="22"/>
              </w:rPr>
            </w:pPr>
            <w:r>
              <w:rPr>
                <w:b/>
                <w:bCs/>
                <w:color w:val="000000"/>
                <w:kern w:val="0"/>
                <w:sz w:val="22"/>
                <w:szCs w:val="22"/>
              </w:rPr>
              <w:t>得分</w:t>
            </w:r>
          </w:p>
        </w:tc>
      </w:tr>
      <w:tr w14:paraId="01A8CE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8" w:hRule="atLeast"/>
          <w:jc w:val="center"/>
        </w:trPr>
        <w:tc>
          <w:tcPr>
            <w:tcW w:w="0" w:type="auto"/>
            <w:vMerge w:val="restart"/>
            <w:shd w:val="clear" w:color="auto" w:fill="FFFFFF"/>
            <w:vAlign w:val="center"/>
          </w:tcPr>
          <w:p w14:paraId="6CFF733F">
            <w:pPr>
              <w:widowControl/>
              <w:spacing w:line="0" w:lineRule="atLeast"/>
              <w:jc w:val="center"/>
              <w:rPr>
                <w:color w:val="000000"/>
                <w:kern w:val="0"/>
                <w:sz w:val="22"/>
                <w:szCs w:val="22"/>
              </w:rPr>
            </w:pPr>
            <w:r>
              <w:rPr>
                <w:color w:val="000000"/>
                <w:kern w:val="0"/>
                <w:sz w:val="22"/>
                <w:szCs w:val="22"/>
              </w:rPr>
              <w:t>决策　</w:t>
            </w:r>
          </w:p>
          <w:p w14:paraId="6CB469D1">
            <w:pPr>
              <w:widowControl/>
              <w:spacing w:line="0" w:lineRule="atLeast"/>
              <w:jc w:val="center"/>
              <w:rPr>
                <w:color w:val="000000"/>
                <w:kern w:val="0"/>
                <w:sz w:val="22"/>
                <w:szCs w:val="22"/>
              </w:rPr>
            </w:pPr>
            <w:r>
              <w:rPr>
                <w:color w:val="000000"/>
                <w:kern w:val="0"/>
                <w:sz w:val="22"/>
                <w:szCs w:val="22"/>
              </w:rPr>
              <w:t>　</w:t>
            </w:r>
          </w:p>
          <w:p w14:paraId="5A5ED9CB">
            <w:pPr>
              <w:spacing w:line="0" w:lineRule="atLeast"/>
              <w:jc w:val="center"/>
              <w:rPr>
                <w:color w:val="000000"/>
                <w:kern w:val="0"/>
                <w:sz w:val="22"/>
                <w:szCs w:val="22"/>
              </w:rPr>
            </w:pPr>
            <w:r>
              <w:rPr>
                <w:color w:val="000000"/>
                <w:kern w:val="0"/>
                <w:sz w:val="22"/>
                <w:szCs w:val="22"/>
              </w:rPr>
              <w:t>　</w:t>
            </w:r>
          </w:p>
        </w:tc>
        <w:tc>
          <w:tcPr>
            <w:tcW w:w="0" w:type="auto"/>
            <w:vMerge w:val="restart"/>
            <w:shd w:val="clear" w:color="auto" w:fill="FFFFFF"/>
            <w:vAlign w:val="center"/>
          </w:tcPr>
          <w:p w14:paraId="6F7F3D6D">
            <w:pPr>
              <w:widowControl/>
              <w:spacing w:line="0" w:lineRule="atLeast"/>
              <w:jc w:val="center"/>
              <w:rPr>
                <w:color w:val="000000"/>
                <w:kern w:val="0"/>
                <w:sz w:val="22"/>
                <w:szCs w:val="22"/>
              </w:rPr>
            </w:pPr>
            <w:r>
              <w:rPr>
                <w:color w:val="000000"/>
                <w:kern w:val="0"/>
                <w:sz w:val="22"/>
                <w:szCs w:val="22"/>
              </w:rPr>
              <w:t>项目立项　</w:t>
            </w:r>
          </w:p>
        </w:tc>
        <w:tc>
          <w:tcPr>
            <w:tcW w:w="0" w:type="auto"/>
            <w:shd w:val="clear" w:color="auto" w:fill="FFFFFF"/>
            <w:vAlign w:val="center"/>
          </w:tcPr>
          <w:p w14:paraId="672E26ED">
            <w:pPr>
              <w:widowControl/>
              <w:spacing w:line="0" w:lineRule="atLeast"/>
              <w:jc w:val="center"/>
              <w:rPr>
                <w:color w:val="000000"/>
                <w:kern w:val="0"/>
                <w:sz w:val="22"/>
                <w:szCs w:val="22"/>
              </w:rPr>
            </w:pPr>
            <w:r>
              <w:rPr>
                <w:color w:val="000000"/>
                <w:kern w:val="0"/>
                <w:sz w:val="22"/>
                <w:szCs w:val="22"/>
              </w:rPr>
              <w:t>立项依据</w:t>
            </w:r>
          </w:p>
          <w:p w14:paraId="65F3FC91">
            <w:pPr>
              <w:widowControl/>
              <w:spacing w:line="0" w:lineRule="atLeast"/>
              <w:jc w:val="center"/>
              <w:rPr>
                <w:color w:val="000000"/>
                <w:kern w:val="0"/>
                <w:sz w:val="22"/>
                <w:szCs w:val="22"/>
              </w:rPr>
            </w:pPr>
            <w:r>
              <w:rPr>
                <w:color w:val="000000"/>
                <w:kern w:val="0"/>
                <w:sz w:val="22"/>
                <w:szCs w:val="22"/>
              </w:rPr>
              <w:t>充分性</w:t>
            </w:r>
          </w:p>
        </w:tc>
        <w:tc>
          <w:tcPr>
            <w:tcW w:w="0" w:type="auto"/>
            <w:shd w:val="clear" w:color="auto" w:fill="FFFFFF"/>
            <w:vAlign w:val="center"/>
          </w:tcPr>
          <w:p w14:paraId="08C9C36C">
            <w:pPr>
              <w:widowControl/>
              <w:spacing w:line="0" w:lineRule="atLeast"/>
              <w:rPr>
                <w:color w:val="000000"/>
                <w:kern w:val="0"/>
                <w:sz w:val="22"/>
                <w:szCs w:val="22"/>
              </w:rPr>
            </w:pPr>
            <w:r>
              <w:rPr>
                <w:color w:val="000000"/>
                <w:kern w:val="0"/>
                <w:sz w:val="22"/>
                <w:szCs w:val="22"/>
              </w:rPr>
              <w:t>项目立项是否符合法律法规、相关政策、发展规划以及部门职责，用以反映和考核项目立项依据情况。</w:t>
            </w:r>
          </w:p>
        </w:tc>
        <w:tc>
          <w:tcPr>
            <w:tcW w:w="0" w:type="auto"/>
            <w:shd w:val="clear" w:color="auto" w:fill="FFFFFF"/>
            <w:vAlign w:val="center"/>
          </w:tcPr>
          <w:p w14:paraId="3C8F3053">
            <w:pPr>
              <w:widowControl/>
              <w:spacing w:line="0" w:lineRule="atLeast"/>
              <w:jc w:val="left"/>
              <w:rPr>
                <w:color w:val="000000"/>
                <w:kern w:val="0"/>
                <w:sz w:val="22"/>
                <w:szCs w:val="22"/>
              </w:rPr>
            </w:pPr>
            <w:r>
              <w:rPr>
                <w:color w:val="000000"/>
                <w:kern w:val="0"/>
                <w:sz w:val="22"/>
                <w:szCs w:val="22"/>
              </w:rPr>
              <w:t>评价要点：</w:t>
            </w:r>
            <w:r>
              <w:rPr>
                <w:color w:val="000000"/>
                <w:kern w:val="0"/>
                <w:sz w:val="22"/>
                <w:szCs w:val="22"/>
              </w:rPr>
              <w:br w:type="textWrapping"/>
            </w:r>
            <w:r>
              <w:rPr>
                <w:color w:val="000000"/>
                <w:kern w:val="0"/>
                <w:sz w:val="22"/>
                <w:szCs w:val="22"/>
              </w:rPr>
              <w:t>①项目立项是否符合国家法律法规、国民经济发展规划和相关政策；</w:t>
            </w:r>
            <w:r>
              <w:rPr>
                <w:color w:val="000000"/>
                <w:kern w:val="0"/>
                <w:sz w:val="22"/>
                <w:szCs w:val="22"/>
              </w:rPr>
              <w:br w:type="textWrapping"/>
            </w:r>
            <w:r>
              <w:rPr>
                <w:color w:val="000000"/>
                <w:kern w:val="0"/>
                <w:sz w:val="22"/>
                <w:szCs w:val="22"/>
              </w:rPr>
              <w:t>②项目立项是否符合行业发展规划和政策要求；</w:t>
            </w:r>
            <w:r>
              <w:rPr>
                <w:color w:val="000000"/>
                <w:kern w:val="0"/>
                <w:sz w:val="22"/>
                <w:szCs w:val="22"/>
              </w:rPr>
              <w:br w:type="textWrapping"/>
            </w:r>
            <w:r>
              <w:rPr>
                <w:color w:val="000000"/>
                <w:kern w:val="0"/>
                <w:sz w:val="22"/>
                <w:szCs w:val="22"/>
              </w:rPr>
              <w:t>③项目立项是否与部门职责范围相符，属于部门履职所需；</w:t>
            </w:r>
            <w:r>
              <w:rPr>
                <w:color w:val="000000"/>
                <w:kern w:val="0"/>
                <w:sz w:val="22"/>
                <w:szCs w:val="22"/>
              </w:rPr>
              <w:br w:type="textWrapping"/>
            </w:r>
            <w:r>
              <w:rPr>
                <w:color w:val="000000"/>
                <w:kern w:val="0"/>
                <w:sz w:val="22"/>
                <w:szCs w:val="22"/>
              </w:rPr>
              <w:t>④项目是否属于公共财政支持范围，是否符合中央、地方事权支出责任划分原则；</w:t>
            </w:r>
            <w:r>
              <w:rPr>
                <w:color w:val="000000"/>
                <w:kern w:val="0"/>
                <w:sz w:val="22"/>
                <w:szCs w:val="22"/>
              </w:rPr>
              <w:br w:type="textWrapping"/>
            </w:r>
            <w:r>
              <w:rPr>
                <w:color w:val="000000"/>
                <w:kern w:val="0"/>
                <w:sz w:val="22"/>
                <w:szCs w:val="22"/>
              </w:rPr>
              <w:t>⑤项目是否与相关部门同类项目或部门内部相关项目重复。</w:t>
            </w:r>
          </w:p>
        </w:tc>
        <w:tc>
          <w:tcPr>
            <w:tcW w:w="0" w:type="auto"/>
            <w:shd w:val="clear" w:color="auto" w:fill="FFFFFF"/>
            <w:vAlign w:val="center"/>
          </w:tcPr>
          <w:p w14:paraId="0F7A4C88">
            <w:pPr>
              <w:widowControl/>
              <w:spacing w:line="0" w:lineRule="atLeast"/>
              <w:jc w:val="center"/>
              <w:rPr>
                <w:b/>
                <w:bCs/>
                <w:color w:val="000000"/>
                <w:kern w:val="0"/>
                <w:sz w:val="22"/>
                <w:szCs w:val="22"/>
              </w:rPr>
            </w:pPr>
            <w:r>
              <w:rPr>
                <w:rFonts w:hint="eastAsia"/>
                <w:b/>
                <w:bCs/>
                <w:color w:val="000000"/>
                <w:kern w:val="0"/>
                <w:sz w:val="22"/>
                <w:szCs w:val="22"/>
              </w:rPr>
              <w:t>3</w:t>
            </w:r>
          </w:p>
        </w:tc>
        <w:tc>
          <w:tcPr>
            <w:tcW w:w="0" w:type="auto"/>
            <w:shd w:val="clear" w:color="auto" w:fill="FFFFFF"/>
            <w:vAlign w:val="center"/>
          </w:tcPr>
          <w:p w14:paraId="03AAC9B0">
            <w:pPr>
              <w:widowControl/>
              <w:spacing w:line="0" w:lineRule="atLeast"/>
              <w:jc w:val="center"/>
              <w:rPr>
                <w:b/>
                <w:bCs/>
                <w:color w:val="000000"/>
                <w:kern w:val="0"/>
                <w:sz w:val="22"/>
                <w:szCs w:val="22"/>
              </w:rPr>
            </w:pPr>
            <w:r>
              <w:rPr>
                <w:rFonts w:hint="eastAsia"/>
                <w:b/>
                <w:bCs/>
                <w:color w:val="000000"/>
                <w:kern w:val="0"/>
                <w:sz w:val="22"/>
                <w:szCs w:val="22"/>
              </w:rPr>
              <w:t>3</w:t>
            </w:r>
          </w:p>
        </w:tc>
      </w:tr>
      <w:tr w14:paraId="033CE6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38" w:hRule="atLeast"/>
          <w:jc w:val="center"/>
        </w:trPr>
        <w:tc>
          <w:tcPr>
            <w:tcW w:w="0" w:type="auto"/>
            <w:vMerge w:val="continue"/>
            <w:shd w:val="clear" w:color="auto" w:fill="FFFFFF"/>
            <w:vAlign w:val="center"/>
          </w:tcPr>
          <w:p w14:paraId="4E0CFEF9">
            <w:pPr>
              <w:spacing w:line="0" w:lineRule="atLeast"/>
              <w:jc w:val="center"/>
              <w:rPr>
                <w:color w:val="000000"/>
                <w:kern w:val="0"/>
                <w:sz w:val="22"/>
                <w:szCs w:val="22"/>
              </w:rPr>
            </w:pPr>
          </w:p>
        </w:tc>
        <w:tc>
          <w:tcPr>
            <w:tcW w:w="0" w:type="auto"/>
            <w:vMerge w:val="continue"/>
            <w:shd w:val="clear" w:color="auto" w:fill="FFFFFF"/>
            <w:vAlign w:val="center"/>
          </w:tcPr>
          <w:p w14:paraId="7172241F">
            <w:pPr>
              <w:widowControl/>
              <w:spacing w:line="0" w:lineRule="atLeast"/>
              <w:jc w:val="center"/>
              <w:rPr>
                <w:color w:val="000000"/>
                <w:kern w:val="0"/>
                <w:sz w:val="22"/>
                <w:szCs w:val="22"/>
              </w:rPr>
            </w:pPr>
          </w:p>
        </w:tc>
        <w:tc>
          <w:tcPr>
            <w:tcW w:w="0" w:type="auto"/>
            <w:shd w:val="clear" w:color="auto" w:fill="FFFFFF"/>
            <w:vAlign w:val="center"/>
          </w:tcPr>
          <w:p w14:paraId="52C782DE">
            <w:pPr>
              <w:widowControl/>
              <w:spacing w:line="0" w:lineRule="atLeast"/>
              <w:jc w:val="center"/>
              <w:rPr>
                <w:color w:val="000000"/>
                <w:kern w:val="0"/>
                <w:sz w:val="22"/>
                <w:szCs w:val="22"/>
              </w:rPr>
            </w:pPr>
            <w:r>
              <w:rPr>
                <w:color w:val="000000"/>
                <w:kern w:val="0"/>
                <w:sz w:val="22"/>
                <w:szCs w:val="22"/>
              </w:rPr>
              <w:t>立项程序</w:t>
            </w:r>
          </w:p>
          <w:p w14:paraId="145192CA">
            <w:pPr>
              <w:widowControl/>
              <w:spacing w:line="0" w:lineRule="atLeast"/>
              <w:jc w:val="center"/>
              <w:rPr>
                <w:color w:val="000000"/>
                <w:kern w:val="0"/>
                <w:sz w:val="22"/>
                <w:szCs w:val="22"/>
              </w:rPr>
            </w:pPr>
            <w:r>
              <w:rPr>
                <w:color w:val="000000"/>
                <w:kern w:val="0"/>
                <w:sz w:val="22"/>
                <w:szCs w:val="22"/>
              </w:rPr>
              <w:t>规范性</w:t>
            </w:r>
          </w:p>
        </w:tc>
        <w:tc>
          <w:tcPr>
            <w:tcW w:w="0" w:type="auto"/>
            <w:shd w:val="clear" w:color="auto" w:fill="FFFFFF"/>
            <w:vAlign w:val="center"/>
          </w:tcPr>
          <w:p w14:paraId="0347BCF6">
            <w:pPr>
              <w:widowControl/>
              <w:spacing w:line="0" w:lineRule="atLeast"/>
              <w:rPr>
                <w:color w:val="000000"/>
                <w:kern w:val="0"/>
                <w:sz w:val="22"/>
                <w:szCs w:val="22"/>
              </w:rPr>
            </w:pPr>
            <w:r>
              <w:rPr>
                <w:color w:val="000000"/>
                <w:kern w:val="0"/>
                <w:sz w:val="22"/>
                <w:szCs w:val="22"/>
              </w:rPr>
              <w:t>项目申请、设立过程是否符合相关要求，用以反映和考核项目立项的规范情况。</w:t>
            </w:r>
          </w:p>
        </w:tc>
        <w:tc>
          <w:tcPr>
            <w:tcW w:w="0" w:type="auto"/>
            <w:shd w:val="clear" w:color="auto" w:fill="FFFFFF"/>
            <w:vAlign w:val="center"/>
          </w:tcPr>
          <w:p w14:paraId="485D80F1">
            <w:pPr>
              <w:widowControl/>
              <w:spacing w:line="0" w:lineRule="atLeast"/>
              <w:jc w:val="left"/>
              <w:rPr>
                <w:color w:val="000000"/>
                <w:kern w:val="0"/>
                <w:sz w:val="22"/>
                <w:szCs w:val="22"/>
              </w:rPr>
            </w:pPr>
            <w:r>
              <w:rPr>
                <w:color w:val="000000"/>
                <w:kern w:val="0"/>
                <w:sz w:val="22"/>
                <w:szCs w:val="22"/>
              </w:rPr>
              <w:t>评价要点：</w:t>
            </w:r>
            <w:r>
              <w:rPr>
                <w:color w:val="000000"/>
                <w:kern w:val="0"/>
                <w:sz w:val="22"/>
                <w:szCs w:val="22"/>
              </w:rPr>
              <w:br w:type="textWrapping"/>
            </w:r>
            <w:r>
              <w:rPr>
                <w:color w:val="000000"/>
                <w:kern w:val="0"/>
                <w:sz w:val="22"/>
                <w:szCs w:val="22"/>
              </w:rPr>
              <w:t>①项目是否按照规定的程序申请设立；</w:t>
            </w:r>
            <w:r>
              <w:rPr>
                <w:color w:val="000000"/>
                <w:kern w:val="0"/>
                <w:sz w:val="22"/>
                <w:szCs w:val="22"/>
              </w:rPr>
              <w:br w:type="textWrapping"/>
            </w:r>
            <w:r>
              <w:rPr>
                <w:color w:val="000000"/>
                <w:kern w:val="0"/>
                <w:sz w:val="22"/>
                <w:szCs w:val="22"/>
              </w:rPr>
              <w:t>②审批文件、材料是否符合相关要求；</w:t>
            </w:r>
            <w:r>
              <w:rPr>
                <w:color w:val="000000"/>
                <w:kern w:val="0"/>
                <w:sz w:val="22"/>
                <w:szCs w:val="22"/>
              </w:rPr>
              <w:br w:type="textWrapping"/>
            </w:r>
            <w:r>
              <w:rPr>
                <w:color w:val="000000"/>
                <w:kern w:val="0"/>
                <w:sz w:val="22"/>
                <w:szCs w:val="22"/>
              </w:rPr>
              <w:t>③事前是否已经过必要的可行性研究、专家论证、风险评估、绩效评估、集体决策。</w:t>
            </w:r>
          </w:p>
        </w:tc>
        <w:tc>
          <w:tcPr>
            <w:tcW w:w="0" w:type="auto"/>
            <w:shd w:val="clear" w:color="auto" w:fill="FFFFFF"/>
            <w:vAlign w:val="center"/>
          </w:tcPr>
          <w:p w14:paraId="66DDB8D8">
            <w:pPr>
              <w:widowControl/>
              <w:spacing w:line="0" w:lineRule="atLeast"/>
              <w:jc w:val="center"/>
              <w:rPr>
                <w:b/>
                <w:bCs/>
                <w:color w:val="000000"/>
                <w:kern w:val="0"/>
                <w:sz w:val="22"/>
                <w:szCs w:val="22"/>
              </w:rPr>
            </w:pPr>
            <w:r>
              <w:rPr>
                <w:rFonts w:hint="eastAsia"/>
                <w:b/>
                <w:bCs/>
                <w:color w:val="000000"/>
                <w:kern w:val="0"/>
                <w:sz w:val="22"/>
                <w:szCs w:val="22"/>
              </w:rPr>
              <w:t>3</w:t>
            </w:r>
          </w:p>
        </w:tc>
        <w:tc>
          <w:tcPr>
            <w:tcW w:w="0" w:type="auto"/>
            <w:shd w:val="clear" w:color="auto" w:fill="FFFFFF"/>
            <w:vAlign w:val="center"/>
          </w:tcPr>
          <w:p w14:paraId="03F279D3">
            <w:pPr>
              <w:widowControl/>
              <w:spacing w:line="0" w:lineRule="atLeast"/>
              <w:jc w:val="center"/>
              <w:rPr>
                <w:b/>
                <w:bCs/>
                <w:color w:val="000000"/>
                <w:kern w:val="0"/>
                <w:sz w:val="22"/>
                <w:szCs w:val="22"/>
              </w:rPr>
            </w:pPr>
            <w:r>
              <w:rPr>
                <w:rFonts w:hint="eastAsia"/>
                <w:b/>
                <w:bCs/>
                <w:color w:val="000000"/>
                <w:kern w:val="0"/>
                <w:sz w:val="22"/>
                <w:szCs w:val="22"/>
              </w:rPr>
              <w:t>3</w:t>
            </w:r>
          </w:p>
        </w:tc>
      </w:tr>
      <w:tr w14:paraId="5E17BD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9" w:hRule="atLeast"/>
          <w:jc w:val="center"/>
        </w:trPr>
        <w:tc>
          <w:tcPr>
            <w:tcW w:w="0" w:type="auto"/>
            <w:vMerge w:val="continue"/>
            <w:shd w:val="clear" w:color="auto" w:fill="FFFFFF"/>
            <w:vAlign w:val="center"/>
          </w:tcPr>
          <w:p w14:paraId="001E3A01">
            <w:pPr>
              <w:spacing w:line="0" w:lineRule="atLeast"/>
              <w:jc w:val="center"/>
              <w:rPr>
                <w:color w:val="000000"/>
                <w:kern w:val="0"/>
                <w:sz w:val="22"/>
                <w:szCs w:val="22"/>
              </w:rPr>
            </w:pPr>
          </w:p>
        </w:tc>
        <w:tc>
          <w:tcPr>
            <w:tcW w:w="0" w:type="auto"/>
            <w:shd w:val="clear" w:color="auto" w:fill="FFFFFF"/>
            <w:vAlign w:val="center"/>
          </w:tcPr>
          <w:p w14:paraId="579E205E">
            <w:pPr>
              <w:widowControl/>
              <w:spacing w:line="0" w:lineRule="atLeast"/>
              <w:jc w:val="center"/>
              <w:rPr>
                <w:color w:val="000000"/>
                <w:kern w:val="0"/>
                <w:sz w:val="22"/>
                <w:szCs w:val="22"/>
              </w:rPr>
            </w:pPr>
            <w:r>
              <w:rPr>
                <w:color w:val="000000"/>
                <w:kern w:val="0"/>
                <w:sz w:val="22"/>
                <w:szCs w:val="22"/>
              </w:rPr>
              <w:t>绩效目标　</w:t>
            </w:r>
          </w:p>
        </w:tc>
        <w:tc>
          <w:tcPr>
            <w:tcW w:w="0" w:type="auto"/>
            <w:shd w:val="clear" w:color="auto" w:fill="FFFFFF"/>
            <w:vAlign w:val="center"/>
          </w:tcPr>
          <w:p w14:paraId="3F922E44">
            <w:pPr>
              <w:widowControl/>
              <w:spacing w:line="0" w:lineRule="atLeast"/>
              <w:jc w:val="center"/>
              <w:rPr>
                <w:color w:val="000000"/>
                <w:kern w:val="0"/>
                <w:sz w:val="22"/>
                <w:szCs w:val="22"/>
              </w:rPr>
            </w:pPr>
            <w:r>
              <w:rPr>
                <w:color w:val="000000"/>
                <w:kern w:val="0"/>
                <w:sz w:val="22"/>
                <w:szCs w:val="22"/>
              </w:rPr>
              <w:t>绩效目标</w:t>
            </w:r>
          </w:p>
          <w:p w14:paraId="54831851">
            <w:pPr>
              <w:widowControl/>
              <w:spacing w:line="0" w:lineRule="atLeast"/>
              <w:jc w:val="center"/>
              <w:rPr>
                <w:color w:val="000000"/>
                <w:kern w:val="0"/>
                <w:sz w:val="22"/>
                <w:szCs w:val="22"/>
              </w:rPr>
            </w:pPr>
            <w:r>
              <w:rPr>
                <w:color w:val="000000"/>
                <w:kern w:val="0"/>
                <w:sz w:val="22"/>
                <w:szCs w:val="22"/>
              </w:rPr>
              <w:t>合理性</w:t>
            </w:r>
          </w:p>
        </w:tc>
        <w:tc>
          <w:tcPr>
            <w:tcW w:w="0" w:type="auto"/>
            <w:shd w:val="clear" w:color="000000" w:fill="FFFFFF"/>
            <w:vAlign w:val="center"/>
          </w:tcPr>
          <w:p w14:paraId="13D86EA8">
            <w:pPr>
              <w:widowControl/>
              <w:spacing w:line="0" w:lineRule="atLeast"/>
              <w:rPr>
                <w:color w:val="000000"/>
                <w:kern w:val="0"/>
                <w:sz w:val="22"/>
                <w:szCs w:val="22"/>
              </w:rPr>
            </w:pPr>
            <w:r>
              <w:rPr>
                <w:color w:val="000000"/>
                <w:kern w:val="0"/>
                <w:sz w:val="22"/>
                <w:szCs w:val="22"/>
              </w:rPr>
              <w:t>项目所设定的绩效目标是否依据充分，是否符合客观实际，用以反映和考核项目绩效目标与项目实施的相符情况。</w:t>
            </w:r>
          </w:p>
        </w:tc>
        <w:tc>
          <w:tcPr>
            <w:tcW w:w="0" w:type="auto"/>
            <w:shd w:val="clear" w:color="000000" w:fill="FFFFFF"/>
            <w:vAlign w:val="center"/>
          </w:tcPr>
          <w:p w14:paraId="1DBEA596">
            <w:pPr>
              <w:widowControl/>
              <w:spacing w:line="0" w:lineRule="atLeast"/>
              <w:jc w:val="left"/>
              <w:rPr>
                <w:color w:val="000000"/>
                <w:kern w:val="0"/>
                <w:sz w:val="22"/>
                <w:szCs w:val="22"/>
              </w:rPr>
            </w:pPr>
            <w:r>
              <w:rPr>
                <w:color w:val="000000"/>
                <w:kern w:val="0"/>
                <w:sz w:val="22"/>
                <w:szCs w:val="22"/>
              </w:rPr>
              <w:t>评价要点：</w:t>
            </w:r>
            <w:r>
              <w:rPr>
                <w:color w:val="000000"/>
                <w:kern w:val="0"/>
                <w:sz w:val="22"/>
                <w:szCs w:val="22"/>
              </w:rPr>
              <w:br w:type="textWrapping"/>
            </w:r>
            <w:r>
              <w:rPr>
                <w:color w:val="000000"/>
                <w:kern w:val="0"/>
                <w:sz w:val="22"/>
                <w:szCs w:val="22"/>
              </w:rPr>
              <w:t>（如未设定预算绩效目标，也可考核其他工作任务目标）</w:t>
            </w:r>
            <w:r>
              <w:rPr>
                <w:color w:val="000000"/>
                <w:kern w:val="0"/>
                <w:sz w:val="22"/>
                <w:szCs w:val="22"/>
              </w:rPr>
              <w:br w:type="textWrapping"/>
            </w:r>
            <w:r>
              <w:rPr>
                <w:color w:val="000000"/>
                <w:kern w:val="0"/>
                <w:sz w:val="22"/>
                <w:szCs w:val="22"/>
              </w:rPr>
              <w:t>①项目是否有绩效目标；</w:t>
            </w:r>
            <w:r>
              <w:rPr>
                <w:color w:val="000000"/>
                <w:kern w:val="0"/>
                <w:sz w:val="22"/>
                <w:szCs w:val="22"/>
              </w:rPr>
              <w:br w:type="textWrapping"/>
            </w:r>
            <w:r>
              <w:rPr>
                <w:color w:val="000000"/>
                <w:kern w:val="0"/>
                <w:sz w:val="22"/>
                <w:szCs w:val="22"/>
              </w:rPr>
              <w:t>②项目绩效目标与实际工作内容是否具有相关性；</w:t>
            </w:r>
            <w:r>
              <w:rPr>
                <w:color w:val="000000"/>
                <w:kern w:val="0"/>
                <w:sz w:val="22"/>
                <w:szCs w:val="22"/>
              </w:rPr>
              <w:br w:type="textWrapping"/>
            </w:r>
            <w:r>
              <w:rPr>
                <w:color w:val="000000"/>
                <w:kern w:val="0"/>
                <w:sz w:val="22"/>
                <w:szCs w:val="22"/>
              </w:rPr>
              <w:t>③项目预期产出效益和效果是否符合正常的业绩水平；</w:t>
            </w:r>
          </w:p>
          <w:p w14:paraId="02F5DD50">
            <w:pPr>
              <w:widowControl/>
              <w:spacing w:line="0" w:lineRule="atLeast"/>
              <w:jc w:val="left"/>
              <w:rPr>
                <w:color w:val="000000"/>
                <w:kern w:val="0"/>
                <w:sz w:val="22"/>
                <w:szCs w:val="22"/>
              </w:rPr>
            </w:pPr>
            <w:r>
              <w:rPr>
                <w:color w:val="000000"/>
                <w:kern w:val="0"/>
                <w:sz w:val="22"/>
                <w:szCs w:val="22"/>
              </w:rPr>
              <w:t>④是否与预算确定的项目投资额或资金量相匹配。</w:t>
            </w:r>
          </w:p>
        </w:tc>
        <w:tc>
          <w:tcPr>
            <w:tcW w:w="0" w:type="auto"/>
            <w:shd w:val="clear" w:color="000000" w:fill="FFFFFF"/>
            <w:vAlign w:val="center"/>
          </w:tcPr>
          <w:p w14:paraId="09B71885">
            <w:pPr>
              <w:widowControl/>
              <w:spacing w:line="0" w:lineRule="atLeast"/>
              <w:jc w:val="center"/>
              <w:rPr>
                <w:b/>
                <w:bCs/>
                <w:color w:val="000000"/>
                <w:kern w:val="0"/>
                <w:sz w:val="22"/>
                <w:szCs w:val="22"/>
              </w:rPr>
            </w:pPr>
            <w:r>
              <w:rPr>
                <w:rFonts w:hint="eastAsia"/>
                <w:b/>
                <w:bCs/>
                <w:color w:val="000000"/>
                <w:kern w:val="0"/>
                <w:sz w:val="22"/>
                <w:szCs w:val="22"/>
              </w:rPr>
              <w:t>4</w:t>
            </w:r>
          </w:p>
        </w:tc>
        <w:tc>
          <w:tcPr>
            <w:tcW w:w="0" w:type="auto"/>
            <w:shd w:val="clear" w:color="000000" w:fill="FFFFFF"/>
            <w:vAlign w:val="center"/>
          </w:tcPr>
          <w:p w14:paraId="243F6600">
            <w:pPr>
              <w:widowControl/>
              <w:spacing w:line="0" w:lineRule="atLeast"/>
              <w:jc w:val="center"/>
              <w:rPr>
                <w:b/>
                <w:bCs/>
                <w:color w:val="000000"/>
                <w:kern w:val="0"/>
                <w:sz w:val="22"/>
                <w:szCs w:val="22"/>
              </w:rPr>
            </w:pPr>
            <w:r>
              <w:rPr>
                <w:rFonts w:hint="eastAsia"/>
                <w:b/>
                <w:bCs/>
                <w:color w:val="000000"/>
                <w:kern w:val="0"/>
                <w:sz w:val="22"/>
                <w:szCs w:val="22"/>
              </w:rPr>
              <w:t>4</w:t>
            </w:r>
          </w:p>
        </w:tc>
      </w:tr>
      <w:tr w14:paraId="36F455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0" w:type="auto"/>
            <w:vMerge w:val="restart"/>
            <w:shd w:val="clear" w:color="auto" w:fill="FFFFFF"/>
            <w:vAlign w:val="center"/>
          </w:tcPr>
          <w:p w14:paraId="570FF8A3">
            <w:pPr>
              <w:widowControl/>
              <w:spacing w:line="0" w:lineRule="atLeast"/>
              <w:jc w:val="center"/>
              <w:rPr>
                <w:color w:val="000000"/>
                <w:kern w:val="0"/>
                <w:sz w:val="22"/>
                <w:szCs w:val="22"/>
              </w:rPr>
            </w:pPr>
            <w:r>
              <w:rPr>
                <w:color w:val="000000"/>
                <w:kern w:val="0"/>
                <w:sz w:val="22"/>
                <w:szCs w:val="22"/>
              </w:rPr>
              <w:t>决策　</w:t>
            </w:r>
          </w:p>
        </w:tc>
        <w:tc>
          <w:tcPr>
            <w:tcW w:w="0" w:type="auto"/>
            <w:shd w:val="clear" w:color="auto" w:fill="FFFFFF"/>
            <w:vAlign w:val="center"/>
          </w:tcPr>
          <w:p w14:paraId="5D47B538">
            <w:pPr>
              <w:widowControl/>
              <w:spacing w:line="0" w:lineRule="atLeast"/>
              <w:jc w:val="center"/>
              <w:rPr>
                <w:color w:val="000000"/>
                <w:kern w:val="0"/>
                <w:sz w:val="22"/>
                <w:szCs w:val="22"/>
              </w:rPr>
            </w:pPr>
            <w:r>
              <w:rPr>
                <w:color w:val="000000"/>
                <w:kern w:val="0"/>
                <w:sz w:val="22"/>
                <w:szCs w:val="22"/>
              </w:rPr>
              <w:t>绩效目标</w:t>
            </w:r>
          </w:p>
        </w:tc>
        <w:tc>
          <w:tcPr>
            <w:tcW w:w="0" w:type="auto"/>
            <w:shd w:val="clear" w:color="auto" w:fill="FFFFFF"/>
            <w:vAlign w:val="center"/>
          </w:tcPr>
          <w:p w14:paraId="403B1974">
            <w:pPr>
              <w:widowControl/>
              <w:spacing w:line="0" w:lineRule="atLeast"/>
              <w:jc w:val="center"/>
              <w:rPr>
                <w:color w:val="000000"/>
                <w:kern w:val="0"/>
                <w:sz w:val="22"/>
                <w:szCs w:val="22"/>
              </w:rPr>
            </w:pPr>
            <w:r>
              <w:rPr>
                <w:color w:val="000000"/>
                <w:kern w:val="0"/>
                <w:sz w:val="22"/>
                <w:szCs w:val="22"/>
              </w:rPr>
              <w:t>绩效指标</w:t>
            </w:r>
          </w:p>
          <w:p w14:paraId="3B57C502">
            <w:pPr>
              <w:widowControl/>
              <w:spacing w:line="0" w:lineRule="atLeast"/>
              <w:jc w:val="center"/>
              <w:rPr>
                <w:color w:val="000000"/>
                <w:kern w:val="0"/>
                <w:sz w:val="22"/>
                <w:szCs w:val="22"/>
              </w:rPr>
            </w:pPr>
            <w:r>
              <w:rPr>
                <w:color w:val="000000"/>
                <w:kern w:val="0"/>
                <w:sz w:val="22"/>
                <w:szCs w:val="22"/>
              </w:rPr>
              <w:t>明确性</w:t>
            </w:r>
          </w:p>
        </w:tc>
        <w:tc>
          <w:tcPr>
            <w:tcW w:w="0" w:type="auto"/>
            <w:shd w:val="clear" w:color="000000" w:fill="FFFFFF"/>
            <w:vAlign w:val="center"/>
          </w:tcPr>
          <w:p w14:paraId="0F0E694E">
            <w:pPr>
              <w:widowControl/>
              <w:spacing w:line="0" w:lineRule="atLeast"/>
              <w:rPr>
                <w:color w:val="000000"/>
                <w:kern w:val="0"/>
                <w:sz w:val="22"/>
                <w:szCs w:val="22"/>
              </w:rPr>
            </w:pPr>
            <w:r>
              <w:rPr>
                <w:color w:val="000000"/>
                <w:kern w:val="0"/>
                <w:sz w:val="22"/>
                <w:szCs w:val="22"/>
              </w:rPr>
              <w:t>依据绩效目标设定的绩效指标是否清晰、细化、可衡量等，用以反映和考核项目绩效目标的明细化情况。</w:t>
            </w:r>
          </w:p>
        </w:tc>
        <w:tc>
          <w:tcPr>
            <w:tcW w:w="0" w:type="auto"/>
            <w:shd w:val="clear" w:color="000000" w:fill="FFFFFF"/>
            <w:vAlign w:val="center"/>
          </w:tcPr>
          <w:p w14:paraId="3DE0ECB8">
            <w:pPr>
              <w:widowControl/>
              <w:spacing w:line="0" w:lineRule="atLeast"/>
              <w:rPr>
                <w:color w:val="000000"/>
                <w:kern w:val="0"/>
                <w:sz w:val="22"/>
                <w:szCs w:val="22"/>
              </w:rPr>
            </w:pPr>
            <w:r>
              <w:rPr>
                <w:color w:val="000000"/>
                <w:kern w:val="0"/>
                <w:sz w:val="22"/>
                <w:szCs w:val="22"/>
              </w:rPr>
              <w:t>评价要点：</w:t>
            </w:r>
            <w:r>
              <w:rPr>
                <w:color w:val="000000"/>
                <w:kern w:val="0"/>
                <w:sz w:val="22"/>
                <w:szCs w:val="22"/>
              </w:rPr>
              <w:br w:type="textWrapping"/>
            </w:r>
            <w:r>
              <w:rPr>
                <w:color w:val="000000"/>
                <w:kern w:val="0"/>
                <w:sz w:val="22"/>
                <w:szCs w:val="22"/>
              </w:rPr>
              <w:t>①是否将项目绩效目标细化分解为具体的绩效指标；</w:t>
            </w:r>
            <w:r>
              <w:rPr>
                <w:color w:val="000000"/>
                <w:kern w:val="0"/>
                <w:sz w:val="22"/>
                <w:szCs w:val="22"/>
              </w:rPr>
              <w:br w:type="textWrapping"/>
            </w:r>
            <w:r>
              <w:rPr>
                <w:color w:val="000000"/>
                <w:kern w:val="0"/>
                <w:sz w:val="22"/>
                <w:szCs w:val="22"/>
              </w:rPr>
              <w:t>②是否通过清晰、可衡量的指标值予以体现；</w:t>
            </w:r>
            <w:r>
              <w:rPr>
                <w:color w:val="000000"/>
                <w:kern w:val="0"/>
                <w:sz w:val="22"/>
                <w:szCs w:val="22"/>
              </w:rPr>
              <w:br w:type="textWrapping"/>
            </w:r>
            <w:r>
              <w:rPr>
                <w:color w:val="000000"/>
                <w:kern w:val="0"/>
                <w:sz w:val="22"/>
                <w:szCs w:val="22"/>
              </w:rPr>
              <w:t>③是否与项目目标任务数或计划数相对应。</w:t>
            </w:r>
            <w:r>
              <w:rPr>
                <w:color w:val="000000"/>
                <w:kern w:val="0"/>
                <w:sz w:val="22"/>
                <w:szCs w:val="22"/>
              </w:rPr>
              <w:br w:type="textWrapping"/>
            </w:r>
          </w:p>
        </w:tc>
        <w:tc>
          <w:tcPr>
            <w:tcW w:w="0" w:type="auto"/>
            <w:shd w:val="clear" w:color="000000" w:fill="FFFFFF"/>
            <w:vAlign w:val="center"/>
          </w:tcPr>
          <w:p w14:paraId="4A8E6972">
            <w:pPr>
              <w:widowControl/>
              <w:spacing w:line="0" w:lineRule="atLeast"/>
              <w:jc w:val="center"/>
              <w:rPr>
                <w:b/>
                <w:bCs/>
                <w:color w:val="000000"/>
                <w:kern w:val="0"/>
                <w:sz w:val="22"/>
                <w:szCs w:val="22"/>
              </w:rPr>
            </w:pPr>
            <w:r>
              <w:rPr>
                <w:rFonts w:hint="eastAsia"/>
                <w:b/>
                <w:bCs/>
                <w:color w:val="000000"/>
                <w:kern w:val="0"/>
                <w:sz w:val="22"/>
                <w:szCs w:val="22"/>
              </w:rPr>
              <w:t>3</w:t>
            </w:r>
          </w:p>
        </w:tc>
        <w:tc>
          <w:tcPr>
            <w:tcW w:w="0" w:type="auto"/>
            <w:shd w:val="clear" w:color="000000" w:fill="FFFFFF"/>
            <w:vAlign w:val="center"/>
          </w:tcPr>
          <w:p w14:paraId="47F12D6F">
            <w:pPr>
              <w:widowControl/>
              <w:spacing w:line="0" w:lineRule="atLeast"/>
              <w:jc w:val="center"/>
              <w:rPr>
                <w:b/>
                <w:bCs/>
                <w:color w:val="000000"/>
                <w:kern w:val="0"/>
                <w:sz w:val="22"/>
                <w:szCs w:val="22"/>
              </w:rPr>
            </w:pPr>
            <w:r>
              <w:rPr>
                <w:rFonts w:hint="eastAsia"/>
                <w:b/>
                <w:bCs/>
                <w:color w:val="000000"/>
                <w:kern w:val="0"/>
                <w:sz w:val="22"/>
                <w:szCs w:val="22"/>
              </w:rPr>
              <w:t>3</w:t>
            </w:r>
          </w:p>
        </w:tc>
      </w:tr>
      <w:tr w14:paraId="7C2428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0" w:type="auto"/>
            <w:vMerge w:val="continue"/>
            <w:shd w:val="clear" w:color="auto" w:fill="FFFFFF"/>
            <w:vAlign w:val="center"/>
          </w:tcPr>
          <w:p w14:paraId="0D6581C7">
            <w:pPr>
              <w:spacing w:line="0" w:lineRule="atLeast"/>
              <w:jc w:val="center"/>
              <w:rPr>
                <w:color w:val="000000"/>
                <w:kern w:val="0"/>
                <w:sz w:val="22"/>
                <w:szCs w:val="22"/>
              </w:rPr>
            </w:pPr>
          </w:p>
        </w:tc>
        <w:tc>
          <w:tcPr>
            <w:tcW w:w="0" w:type="auto"/>
            <w:vMerge w:val="restart"/>
            <w:shd w:val="clear" w:color="auto" w:fill="FFFFFF"/>
            <w:vAlign w:val="center"/>
          </w:tcPr>
          <w:p w14:paraId="775C97C2">
            <w:pPr>
              <w:widowControl/>
              <w:spacing w:line="0" w:lineRule="atLeast"/>
              <w:jc w:val="center"/>
              <w:rPr>
                <w:color w:val="000000"/>
                <w:kern w:val="0"/>
                <w:sz w:val="22"/>
                <w:szCs w:val="22"/>
              </w:rPr>
            </w:pPr>
            <w:r>
              <w:rPr>
                <w:color w:val="000000"/>
                <w:kern w:val="0"/>
                <w:sz w:val="22"/>
                <w:szCs w:val="22"/>
              </w:rPr>
              <w:t>资金投入</w:t>
            </w:r>
          </w:p>
          <w:p w14:paraId="39AF394A">
            <w:pPr>
              <w:spacing w:line="0" w:lineRule="atLeast"/>
              <w:jc w:val="center"/>
              <w:rPr>
                <w:color w:val="000000"/>
                <w:kern w:val="0"/>
                <w:sz w:val="22"/>
                <w:szCs w:val="22"/>
              </w:rPr>
            </w:pPr>
            <w:r>
              <w:rPr>
                <w:color w:val="000000"/>
                <w:kern w:val="0"/>
                <w:sz w:val="22"/>
                <w:szCs w:val="22"/>
              </w:rPr>
              <w:t>　</w:t>
            </w:r>
          </w:p>
        </w:tc>
        <w:tc>
          <w:tcPr>
            <w:tcW w:w="0" w:type="auto"/>
            <w:shd w:val="clear" w:color="auto" w:fill="FFFFFF"/>
            <w:vAlign w:val="center"/>
          </w:tcPr>
          <w:p w14:paraId="5A4DD4FD">
            <w:pPr>
              <w:widowControl/>
              <w:spacing w:line="0" w:lineRule="atLeast"/>
              <w:jc w:val="center"/>
              <w:rPr>
                <w:color w:val="000000"/>
                <w:kern w:val="0"/>
                <w:sz w:val="22"/>
                <w:szCs w:val="22"/>
              </w:rPr>
            </w:pPr>
            <w:r>
              <w:rPr>
                <w:color w:val="000000"/>
                <w:kern w:val="0"/>
                <w:sz w:val="22"/>
                <w:szCs w:val="22"/>
              </w:rPr>
              <w:t>预算编制</w:t>
            </w:r>
          </w:p>
          <w:p w14:paraId="309FF9A3">
            <w:pPr>
              <w:widowControl/>
              <w:spacing w:line="0" w:lineRule="atLeast"/>
              <w:jc w:val="center"/>
              <w:rPr>
                <w:color w:val="000000"/>
                <w:kern w:val="0"/>
                <w:sz w:val="22"/>
                <w:szCs w:val="22"/>
              </w:rPr>
            </w:pPr>
            <w:r>
              <w:rPr>
                <w:color w:val="000000"/>
                <w:kern w:val="0"/>
                <w:sz w:val="22"/>
                <w:szCs w:val="22"/>
              </w:rPr>
              <w:t>科学性</w:t>
            </w:r>
          </w:p>
        </w:tc>
        <w:tc>
          <w:tcPr>
            <w:tcW w:w="0" w:type="auto"/>
            <w:shd w:val="clear" w:color="auto" w:fill="FFFFFF"/>
            <w:vAlign w:val="center"/>
          </w:tcPr>
          <w:p w14:paraId="136A082A">
            <w:pPr>
              <w:widowControl/>
              <w:spacing w:line="0" w:lineRule="atLeast"/>
              <w:rPr>
                <w:color w:val="000000"/>
                <w:kern w:val="0"/>
                <w:sz w:val="22"/>
                <w:szCs w:val="22"/>
              </w:rPr>
            </w:pPr>
            <w:r>
              <w:rPr>
                <w:color w:val="000000"/>
                <w:kern w:val="0"/>
                <w:sz w:val="22"/>
                <w:szCs w:val="22"/>
              </w:rPr>
              <w:t>项目预算编制是否经过科学论证、有明确标准，资金额度与年度目标是否相适应，用以反映和考核项目预算编制的科学性、合理性情况。</w:t>
            </w:r>
          </w:p>
        </w:tc>
        <w:tc>
          <w:tcPr>
            <w:tcW w:w="0" w:type="auto"/>
            <w:shd w:val="clear" w:color="auto" w:fill="FFFFFF"/>
            <w:vAlign w:val="center"/>
          </w:tcPr>
          <w:p w14:paraId="0D1724D8">
            <w:pPr>
              <w:widowControl/>
              <w:spacing w:line="0" w:lineRule="atLeast"/>
              <w:rPr>
                <w:color w:val="000000"/>
                <w:kern w:val="0"/>
                <w:sz w:val="22"/>
                <w:szCs w:val="22"/>
              </w:rPr>
            </w:pPr>
            <w:r>
              <w:rPr>
                <w:color w:val="000000"/>
                <w:kern w:val="0"/>
                <w:sz w:val="22"/>
                <w:szCs w:val="22"/>
              </w:rPr>
              <w:t>评价要点：</w:t>
            </w:r>
            <w:r>
              <w:rPr>
                <w:color w:val="000000"/>
                <w:kern w:val="0"/>
                <w:sz w:val="22"/>
                <w:szCs w:val="22"/>
              </w:rPr>
              <w:br w:type="textWrapping"/>
            </w:r>
            <w:r>
              <w:rPr>
                <w:color w:val="000000"/>
                <w:kern w:val="0"/>
                <w:sz w:val="22"/>
                <w:szCs w:val="22"/>
              </w:rPr>
              <w:t>①预算编制是否经过科学论证；</w:t>
            </w:r>
            <w:r>
              <w:rPr>
                <w:color w:val="000000"/>
                <w:kern w:val="0"/>
                <w:sz w:val="22"/>
                <w:szCs w:val="22"/>
              </w:rPr>
              <w:br w:type="textWrapping"/>
            </w:r>
            <w:r>
              <w:rPr>
                <w:color w:val="000000"/>
                <w:kern w:val="0"/>
                <w:sz w:val="22"/>
                <w:szCs w:val="22"/>
              </w:rPr>
              <w:t>②预算内容与项目内容是否匹配；</w:t>
            </w:r>
            <w:r>
              <w:rPr>
                <w:color w:val="000000"/>
                <w:kern w:val="0"/>
                <w:sz w:val="22"/>
                <w:szCs w:val="22"/>
              </w:rPr>
              <w:br w:type="textWrapping"/>
            </w:r>
            <w:r>
              <w:rPr>
                <w:color w:val="000000"/>
                <w:kern w:val="0"/>
                <w:sz w:val="22"/>
                <w:szCs w:val="22"/>
              </w:rPr>
              <w:t>③预算额度测算依据是否充分，是否按照标准编制；</w:t>
            </w:r>
            <w:r>
              <w:rPr>
                <w:color w:val="000000"/>
                <w:kern w:val="0"/>
                <w:sz w:val="22"/>
                <w:szCs w:val="22"/>
              </w:rPr>
              <w:br w:type="textWrapping"/>
            </w:r>
            <w:r>
              <w:rPr>
                <w:color w:val="000000"/>
                <w:kern w:val="0"/>
                <w:sz w:val="22"/>
                <w:szCs w:val="22"/>
              </w:rPr>
              <w:t>④预算确定的项目投资额或资金量是否与工作任务相匹配。</w:t>
            </w:r>
          </w:p>
        </w:tc>
        <w:tc>
          <w:tcPr>
            <w:tcW w:w="0" w:type="auto"/>
            <w:shd w:val="clear" w:color="auto" w:fill="FFFFFF"/>
            <w:vAlign w:val="center"/>
          </w:tcPr>
          <w:p w14:paraId="1F0CCDE5">
            <w:pPr>
              <w:widowControl/>
              <w:spacing w:line="0" w:lineRule="atLeast"/>
              <w:jc w:val="center"/>
              <w:rPr>
                <w:b/>
                <w:bCs/>
                <w:color w:val="000000"/>
                <w:kern w:val="0"/>
                <w:sz w:val="22"/>
                <w:szCs w:val="22"/>
              </w:rPr>
            </w:pPr>
            <w:r>
              <w:rPr>
                <w:rFonts w:hint="eastAsia"/>
                <w:b/>
                <w:bCs/>
                <w:color w:val="000000"/>
                <w:kern w:val="0"/>
                <w:sz w:val="22"/>
                <w:szCs w:val="22"/>
              </w:rPr>
              <w:t>4</w:t>
            </w:r>
          </w:p>
        </w:tc>
        <w:tc>
          <w:tcPr>
            <w:tcW w:w="0" w:type="auto"/>
            <w:shd w:val="clear" w:color="auto" w:fill="FFFFFF"/>
            <w:vAlign w:val="center"/>
          </w:tcPr>
          <w:p w14:paraId="3479051B">
            <w:pPr>
              <w:widowControl/>
              <w:spacing w:line="0" w:lineRule="atLeast"/>
              <w:jc w:val="center"/>
              <w:rPr>
                <w:b/>
                <w:bCs/>
                <w:color w:val="000000"/>
                <w:kern w:val="0"/>
                <w:sz w:val="22"/>
                <w:szCs w:val="22"/>
              </w:rPr>
            </w:pPr>
            <w:r>
              <w:rPr>
                <w:rFonts w:hint="eastAsia"/>
                <w:b/>
                <w:bCs/>
                <w:color w:val="000000"/>
                <w:kern w:val="0"/>
                <w:sz w:val="22"/>
                <w:szCs w:val="22"/>
              </w:rPr>
              <w:t>4</w:t>
            </w:r>
          </w:p>
        </w:tc>
      </w:tr>
      <w:tr w14:paraId="079EB5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0" w:type="auto"/>
            <w:vMerge w:val="continue"/>
            <w:shd w:val="clear" w:color="auto" w:fill="FFFFFF"/>
            <w:vAlign w:val="center"/>
          </w:tcPr>
          <w:p w14:paraId="6FB95FA6">
            <w:pPr>
              <w:widowControl/>
              <w:spacing w:line="0" w:lineRule="atLeast"/>
              <w:jc w:val="center"/>
              <w:rPr>
                <w:color w:val="000000"/>
                <w:kern w:val="0"/>
                <w:sz w:val="22"/>
                <w:szCs w:val="22"/>
              </w:rPr>
            </w:pPr>
          </w:p>
        </w:tc>
        <w:tc>
          <w:tcPr>
            <w:tcW w:w="0" w:type="auto"/>
            <w:vMerge w:val="continue"/>
            <w:shd w:val="clear" w:color="auto" w:fill="FFFFFF"/>
            <w:vAlign w:val="center"/>
          </w:tcPr>
          <w:p w14:paraId="45F5C2B4">
            <w:pPr>
              <w:widowControl/>
              <w:spacing w:line="0" w:lineRule="atLeast"/>
              <w:jc w:val="center"/>
              <w:rPr>
                <w:color w:val="000000"/>
                <w:kern w:val="0"/>
                <w:sz w:val="22"/>
                <w:szCs w:val="22"/>
              </w:rPr>
            </w:pPr>
          </w:p>
        </w:tc>
        <w:tc>
          <w:tcPr>
            <w:tcW w:w="0" w:type="auto"/>
            <w:shd w:val="clear" w:color="auto" w:fill="FFFFFF"/>
            <w:vAlign w:val="center"/>
          </w:tcPr>
          <w:p w14:paraId="61D31DC9">
            <w:pPr>
              <w:widowControl/>
              <w:spacing w:line="0" w:lineRule="atLeast"/>
              <w:jc w:val="center"/>
              <w:rPr>
                <w:color w:val="000000"/>
                <w:kern w:val="0"/>
                <w:sz w:val="22"/>
                <w:szCs w:val="22"/>
              </w:rPr>
            </w:pPr>
            <w:r>
              <w:rPr>
                <w:color w:val="000000"/>
                <w:kern w:val="0"/>
                <w:sz w:val="22"/>
                <w:szCs w:val="22"/>
              </w:rPr>
              <w:t>资金分配</w:t>
            </w:r>
          </w:p>
          <w:p w14:paraId="793E6D62">
            <w:pPr>
              <w:widowControl/>
              <w:spacing w:line="0" w:lineRule="atLeast"/>
              <w:jc w:val="center"/>
              <w:rPr>
                <w:color w:val="000000"/>
                <w:kern w:val="0"/>
                <w:sz w:val="22"/>
                <w:szCs w:val="22"/>
              </w:rPr>
            </w:pPr>
            <w:r>
              <w:rPr>
                <w:color w:val="000000"/>
                <w:kern w:val="0"/>
                <w:sz w:val="22"/>
                <w:szCs w:val="22"/>
              </w:rPr>
              <w:t>合理性</w:t>
            </w:r>
          </w:p>
        </w:tc>
        <w:tc>
          <w:tcPr>
            <w:tcW w:w="0" w:type="auto"/>
            <w:shd w:val="clear" w:color="auto" w:fill="FFFFFF"/>
            <w:vAlign w:val="center"/>
          </w:tcPr>
          <w:p w14:paraId="214A7CD4">
            <w:pPr>
              <w:widowControl/>
              <w:spacing w:line="0" w:lineRule="atLeast"/>
              <w:rPr>
                <w:color w:val="000000"/>
                <w:kern w:val="0"/>
                <w:sz w:val="22"/>
                <w:szCs w:val="22"/>
              </w:rPr>
            </w:pPr>
            <w:r>
              <w:rPr>
                <w:color w:val="000000"/>
                <w:kern w:val="0"/>
                <w:sz w:val="22"/>
                <w:szCs w:val="22"/>
              </w:rPr>
              <w:t>项目预算资金分配是否有测算依据，与补助单位或地方实际是否相适应，用以反映和考核项目预算资金分配的科学性、合理性情况。</w:t>
            </w:r>
          </w:p>
        </w:tc>
        <w:tc>
          <w:tcPr>
            <w:tcW w:w="0" w:type="auto"/>
            <w:shd w:val="clear" w:color="auto" w:fill="FFFFFF"/>
            <w:vAlign w:val="center"/>
          </w:tcPr>
          <w:p w14:paraId="621FC4CE">
            <w:pPr>
              <w:widowControl/>
              <w:spacing w:line="0" w:lineRule="atLeast"/>
              <w:rPr>
                <w:color w:val="000000"/>
                <w:kern w:val="0"/>
                <w:sz w:val="22"/>
                <w:szCs w:val="22"/>
              </w:rPr>
            </w:pPr>
            <w:r>
              <w:rPr>
                <w:color w:val="000000"/>
                <w:kern w:val="0"/>
                <w:sz w:val="22"/>
                <w:szCs w:val="22"/>
              </w:rPr>
              <w:t>评价要点：</w:t>
            </w:r>
            <w:r>
              <w:rPr>
                <w:color w:val="000000"/>
                <w:kern w:val="0"/>
                <w:sz w:val="22"/>
                <w:szCs w:val="22"/>
              </w:rPr>
              <w:br w:type="textWrapping"/>
            </w:r>
            <w:r>
              <w:rPr>
                <w:color w:val="000000"/>
                <w:kern w:val="0"/>
                <w:sz w:val="22"/>
                <w:szCs w:val="22"/>
              </w:rPr>
              <w:t>①预算资金分配依据是否充分；</w:t>
            </w:r>
            <w:r>
              <w:rPr>
                <w:color w:val="000000"/>
                <w:kern w:val="0"/>
                <w:sz w:val="22"/>
                <w:szCs w:val="22"/>
              </w:rPr>
              <w:br w:type="textWrapping"/>
            </w:r>
            <w:r>
              <w:rPr>
                <w:color w:val="000000"/>
                <w:kern w:val="0"/>
                <w:sz w:val="22"/>
                <w:szCs w:val="22"/>
              </w:rPr>
              <w:t>②资金分配额度是否合理，与项目单位或地方实际是否相适应。</w:t>
            </w:r>
          </w:p>
        </w:tc>
        <w:tc>
          <w:tcPr>
            <w:tcW w:w="0" w:type="auto"/>
            <w:shd w:val="clear" w:color="auto" w:fill="FFFFFF"/>
            <w:vAlign w:val="center"/>
          </w:tcPr>
          <w:p w14:paraId="51F7B34E">
            <w:pPr>
              <w:widowControl/>
              <w:spacing w:line="0" w:lineRule="atLeast"/>
              <w:jc w:val="center"/>
              <w:rPr>
                <w:b/>
                <w:bCs/>
                <w:color w:val="000000"/>
                <w:kern w:val="0"/>
                <w:sz w:val="22"/>
                <w:szCs w:val="22"/>
              </w:rPr>
            </w:pPr>
            <w:r>
              <w:rPr>
                <w:rFonts w:hint="eastAsia"/>
                <w:b/>
                <w:bCs/>
                <w:color w:val="000000"/>
                <w:kern w:val="0"/>
                <w:sz w:val="22"/>
                <w:szCs w:val="22"/>
              </w:rPr>
              <w:t>3</w:t>
            </w:r>
          </w:p>
        </w:tc>
        <w:tc>
          <w:tcPr>
            <w:tcW w:w="0" w:type="auto"/>
            <w:shd w:val="clear" w:color="auto" w:fill="FFFFFF"/>
            <w:vAlign w:val="center"/>
          </w:tcPr>
          <w:p w14:paraId="17962EEF">
            <w:pPr>
              <w:widowControl/>
              <w:spacing w:line="0" w:lineRule="atLeast"/>
              <w:jc w:val="center"/>
              <w:rPr>
                <w:b/>
                <w:bCs/>
                <w:color w:val="000000"/>
                <w:kern w:val="0"/>
                <w:sz w:val="22"/>
                <w:szCs w:val="22"/>
              </w:rPr>
            </w:pPr>
            <w:r>
              <w:rPr>
                <w:rFonts w:hint="eastAsia"/>
                <w:b/>
                <w:bCs/>
                <w:color w:val="000000"/>
                <w:kern w:val="0"/>
                <w:sz w:val="22"/>
                <w:szCs w:val="22"/>
              </w:rPr>
              <w:t>3</w:t>
            </w:r>
          </w:p>
        </w:tc>
      </w:tr>
      <w:tr w14:paraId="68102F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jc w:val="center"/>
        </w:trPr>
        <w:tc>
          <w:tcPr>
            <w:tcW w:w="0" w:type="auto"/>
            <w:vMerge w:val="restart"/>
            <w:shd w:val="clear" w:color="auto" w:fill="FFFFFF"/>
            <w:vAlign w:val="center"/>
          </w:tcPr>
          <w:p w14:paraId="1F31DD6E">
            <w:pPr>
              <w:spacing w:line="0" w:lineRule="atLeast"/>
              <w:jc w:val="center"/>
              <w:rPr>
                <w:color w:val="000000"/>
                <w:kern w:val="0"/>
                <w:sz w:val="22"/>
                <w:szCs w:val="22"/>
              </w:rPr>
            </w:pPr>
            <w:r>
              <w:rPr>
                <w:color w:val="000000"/>
                <w:kern w:val="0"/>
                <w:sz w:val="22"/>
                <w:szCs w:val="22"/>
              </w:rPr>
              <w:t>过程</w:t>
            </w:r>
          </w:p>
        </w:tc>
        <w:tc>
          <w:tcPr>
            <w:tcW w:w="0" w:type="auto"/>
            <w:vMerge w:val="restart"/>
            <w:shd w:val="clear" w:color="auto" w:fill="FFFFFF"/>
            <w:vAlign w:val="center"/>
          </w:tcPr>
          <w:p w14:paraId="1B2E0A4A">
            <w:pPr>
              <w:widowControl/>
              <w:spacing w:line="0" w:lineRule="atLeast"/>
              <w:jc w:val="center"/>
              <w:rPr>
                <w:color w:val="000000"/>
                <w:kern w:val="0"/>
                <w:sz w:val="22"/>
                <w:szCs w:val="22"/>
              </w:rPr>
            </w:pPr>
            <w:r>
              <w:rPr>
                <w:color w:val="000000"/>
                <w:kern w:val="0"/>
                <w:sz w:val="22"/>
                <w:szCs w:val="22"/>
              </w:rPr>
              <w:t>资金管理</w:t>
            </w:r>
          </w:p>
        </w:tc>
        <w:tc>
          <w:tcPr>
            <w:tcW w:w="0" w:type="auto"/>
            <w:shd w:val="clear" w:color="auto" w:fill="FFFFFF"/>
            <w:vAlign w:val="center"/>
          </w:tcPr>
          <w:p w14:paraId="50EA79D6">
            <w:pPr>
              <w:widowControl/>
              <w:spacing w:line="0" w:lineRule="atLeast"/>
              <w:jc w:val="center"/>
              <w:rPr>
                <w:color w:val="000000"/>
                <w:kern w:val="0"/>
                <w:sz w:val="22"/>
                <w:szCs w:val="22"/>
              </w:rPr>
            </w:pPr>
            <w:r>
              <w:rPr>
                <w:color w:val="000000"/>
                <w:kern w:val="0"/>
                <w:sz w:val="22"/>
                <w:szCs w:val="22"/>
              </w:rPr>
              <w:t>资金到位率</w:t>
            </w:r>
          </w:p>
        </w:tc>
        <w:tc>
          <w:tcPr>
            <w:tcW w:w="0" w:type="auto"/>
            <w:shd w:val="clear" w:color="000000" w:fill="FFFFFF"/>
            <w:vAlign w:val="center"/>
          </w:tcPr>
          <w:p w14:paraId="48DF4D64">
            <w:pPr>
              <w:widowControl/>
              <w:spacing w:line="0" w:lineRule="atLeast"/>
              <w:rPr>
                <w:color w:val="000000"/>
                <w:kern w:val="0"/>
                <w:sz w:val="22"/>
                <w:szCs w:val="22"/>
              </w:rPr>
            </w:pPr>
            <w:r>
              <w:rPr>
                <w:color w:val="000000"/>
                <w:kern w:val="0"/>
                <w:sz w:val="22"/>
                <w:szCs w:val="22"/>
              </w:rPr>
              <w:t>实际到位资金与预算资金的比率，用以反映和考核资金落实情况对项目实施的总体保障程度。</w:t>
            </w:r>
          </w:p>
        </w:tc>
        <w:tc>
          <w:tcPr>
            <w:tcW w:w="0" w:type="auto"/>
            <w:shd w:val="clear" w:color="000000" w:fill="FFFFFF"/>
            <w:vAlign w:val="center"/>
          </w:tcPr>
          <w:p w14:paraId="435D1D3A">
            <w:pPr>
              <w:widowControl/>
              <w:spacing w:line="0" w:lineRule="atLeast"/>
              <w:rPr>
                <w:color w:val="000000"/>
                <w:kern w:val="0"/>
                <w:sz w:val="22"/>
                <w:szCs w:val="22"/>
              </w:rPr>
            </w:pPr>
            <w:r>
              <w:rPr>
                <w:color w:val="000000"/>
                <w:kern w:val="0"/>
                <w:sz w:val="22"/>
                <w:szCs w:val="22"/>
              </w:rPr>
              <w:t>资金到位率=（实际到位资金/预算资金）×100%。</w:t>
            </w:r>
          </w:p>
          <w:p w14:paraId="6A71D750">
            <w:pPr>
              <w:widowControl/>
              <w:spacing w:line="0" w:lineRule="atLeast"/>
              <w:rPr>
                <w:color w:val="000000"/>
                <w:kern w:val="0"/>
                <w:sz w:val="22"/>
                <w:szCs w:val="22"/>
              </w:rPr>
            </w:pPr>
            <w:r>
              <w:rPr>
                <w:color w:val="000000"/>
                <w:kern w:val="0"/>
                <w:sz w:val="22"/>
                <w:szCs w:val="22"/>
              </w:rPr>
              <w:t>实际到位资金：一定时期（本年度或项目期）内落实到具体项目的资金。</w:t>
            </w:r>
          </w:p>
          <w:p w14:paraId="0276E750">
            <w:pPr>
              <w:widowControl/>
              <w:spacing w:line="0" w:lineRule="atLeast"/>
              <w:rPr>
                <w:color w:val="000000"/>
                <w:kern w:val="0"/>
                <w:sz w:val="22"/>
                <w:szCs w:val="22"/>
              </w:rPr>
            </w:pPr>
            <w:r>
              <w:rPr>
                <w:color w:val="000000"/>
                <w:kern w:val="0"/>
                <w:sz w:val="22"/>
                <w:szCs w:val="22"/>
              </w:rPr>
              <w:t>预算资金：一定时期（本年度或项目期）内预算安排到具体项目的资金。</w:t>
            </w:r>
          </w:p>
        </w:tc>
        <w:tc>
          <w:tcPr>
            <w:tcW w:w="0" w:type="auto"/>
            <w:shd w:val="clear" w:color="000000" w:fill="FFFFFF"/>
            <w:vAlign w:val="center"/>
          </w:tcPr>
          <w:p w14:paraId="6A297C6B">
            <w:pPr>
              <w:widowControl/>
              <w:spacing w:line="0" w:lineRule="atLeast"/>
              <w:jc w:val="center"/>
              <w:rPr>
                <w:b/>
                <w:bCs/>
                <w:color w:val="000000"/>
                <w:kern w:val="0"/>
                <w:sz w:val="22"/>
                <w:szCs w:val="22"/>
              </w:rPr>
            </w:pPr>
            <w:r>
              <w:rPr>
                <w:rFonts w:hint="eastAsia"/>
                <w:b/>
                <w:bCs/>
                <w:color w:val="000000"/>
                <w:kern w:val="0"/>
                <w:sz w:val="22"/>
                <w:szCs w:val="22"/>
              </w:rPr>
              <w:t>4</w:t>
            </w:r>
          </w:p>
        </w:tc>
        <w:tc>
          <w:tcPr>
            <w:tcW w:w="0" w:type="auto"/>
            <w:shd w:val="clear" w:color="000000" w:fill="FFFFFF"/>
            <w:vAlign w:val="center"/>
          </w:tcPr>
          <w:p w14:paraId="03DD5674">
            <w:pPr>
              <w:widowControl/>
              <w:spacing w:line="0" w:lineRule="atLeast"/>
              <w:jc w:val="center"/>
              <w:rPr>
                <w:b/>
                <w:bCs/>
                <w:color w:val="000000"/>
                <w:kern w:val="0"/>
                <w:sz w:val="22"/>
                <w:szCs w:val="22"/>
              </w:rPr>
            </w:pPr>
            <w:r>
              <w:rPr>
                <w:rFonts w:hint="eastAsia"/>
                <w:b/>
                <w:bCs/>
                <w:color w:val="000000"/>
                <w:kern w:val="0"/>
                <w:sz w:val="22"/>
                <w:szCs w:val="22"/>
              </w:rPr>
              <w:t>4</w:t>
            </w:r>
          </w:p>
        </w:tc>
      </w:tr>
      <w:tr w14:paraId="30E3C6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0" w:type="auto"/>
            <w:vMerge w:val="continue"/>
            <w:shd w:val="clear" w:color="auto" w:fill="FFFFFF"/>
            <w:vAlign w:val="center"/>
          </w:tcPr>
          <w:p w14:paraId="75C6C774">
            <w:pPr>
              <w:spacing w:line="0" w:lineRule="atLeast"/>
              <w:jc w:val="center"/>
              <w:rPr>
                <w:color w:val="000000"/>
                <w:kern w:val="0"/>
                <w:sz w:val="22"/>
                <w:szCs w:val="22"/>
              </w:rPr>
            </w:pPr>
          </w:p>
        </w:tc>
        <w:tc>
          <w:tcPr>
            <w:tcW w:w="0" w:type="auto"/>
            <w:vMerge w:val="continue"/>
            <w:shd w:val="clear" w:color="auto" w:fill="FFFFFF"/>
            <w:vAlign w:val="center"/>
          </w:tcPr>
          <w:p w14:paraId="0EB3627B">
            <w:pPr>
              <w:spacing w:line="0" w:lineRule="atLeast"/>
              <w:jc w:val="center"/>
              <w:rPr>
                <w:color w:val="000000"/>
                <w:kern w:val="0"/>
                <w:sz w:val="22"/>
                <w:szCs w:val="22"/>
              </w:rPr>
            </w:pPr>
          </w:p>
        </w:tc>
        <w:tc>
          <w:tcPr>
            <w:tcW w:w="0" w:type="auto"/>
            <w:shd w:val="clear" w:color="auto" w:fill="FFFFFF"/>
            <w:vAlign w:val="center"/>
          </w:tcPr>
          <w:p w14:paraId="1AAC11F7">
            <w:pPr>
              <w:widowControl/>
              <w:spacing w:line="0" w:lineRule="atLeast"/>
              <w:jc w:val="center"/>
              <w:rPr>
                <w:color w:val="000000"/>
                <w:kern w:val="0"/>
                <w:sz w:val="22"/>
                <w:szCs w:val="22"/>
              </w:rPr>
            </w:pPr>
            <w:r>
              <w:rPr>
                <w:color w:val="000000"/>
                <w:kern w:val="0"/>
                <w:sz w:val="22"/>
                <w:szCs w:val="22"/>
              </w:rPr>
              <w:t>预算执行率</w:t>
            </w:r>
          </w:p>
        </w:tc>
        <w:tc>
          <w:tcPr>
            <w:tcW w:w="0" w:type="auto"/>
            <w:shd w:val="clear" w:color="auto" w:fill="FFFFFF"/>
            <w:vAlign w:val="center"/>
          </w:tcPr>
          <w:p w14:paraId="66016FAB">
            <w:pPr>
              <w:widowControl/>
              <w:spacing w:line="0" w:lineRule="atLeast"/>
              <w:rPr>
                <w:color w:val="000000"/>
                <w:kern w:val="0"/>
                <w:sz w:val="22"/>
                <w:szCs w:val="22"/>
              </w:rPr>
            </w:pPr>
            <w:r>
              <w:rPr>
                <w:color w:val="000000"/>
                <w:kern w:val="0"/>
                <w:sz w:val="22"/>
                <w:szCs w:val="22"/>
              </w:rPr>
              <w:t>项目预算资金是否按照计划执行，用以反映或考核项目预算执行情况。</w:t>
            </w:r>
          </w:p>
        </w:tc>
        <w:tc>
          <w:tcPr>
            <w:tcW w:w="0" w:type="auto"/>
            <w:shd w:val="clear" w:color="auto" w:fill="FFFFFF"/>
            <w:vAlign w:val="center"/>
          </w:tcPr>
          <w:p w14:paraId="11F61FE4">
            <w:pPr>
              <w:widowControl/>
              <w:spacing w:line="0" w:lineRule="atLeast"/>
              <w:rPr>
                <w:color w:val="000000"/>
                <w:kern w:val="0"/>
                <w:sz w:val="22"/>
                <w:szCs w:val="22"/>
              </w:rPr>
            </w:pPr>
            <w:r>
              <w:rPr>
                <w:color w:val="000000"/>
                <w:kern w:val="0"/>
                <w:sz w:val="22"/>
                <w:szCs w:val="22"/>
              </w:rPr>
              <w:t>预算执行率=（实际支出资金/实际到位资金）×100%。</w:t>
            </w:r>
            <w:r>
              <w:rPr>
                <w:color w:val="000000"/>
                <w:kern w:val="0"/>
                <w:sz w:val="22"/>
                <w:szCs w:val="22"/>
              </w:rPr>
              <w:br w:type="textWrapping"/>
            </w:r>
            <w:r>
              <w:rPr>
                <w:color w:val="000000"/>
                <w:kern w:val="0"/>
                <w:sz w:val="22"/>
                <w:szCs w:val="22"/>
              </w:rPr>
              <w:t>实际支出资金：一定时期（本年度或项目期）内项目实际拨付的资金。</w:t>
            </w:r>
          </w:p>
        </w:tc>
        <w:tc>
          <w:tcPr>
            <w:tcW w:w="0" w:type="auto"/>
            <w:shd w:val="clear" w:color="auto" w:fill="FFFFFF"/>
            <w:vAlign w:val="center"/>
          </w:tcPr>
          <w:p w14:paraId="55B3AB6D">
            <w:pPr>
              <w:widowControl/>
              <w:spacing w:line="0" w:lineRule="atLeast"/>
              <w:jc w:val="center"/>
              <w:rPr>
                <w:b/>
                <w:bCs/>
                <w:color w:val="000000"/>
                <w:kern w:val="0"/>
                <w:sz w:val="22"/>
                <w:szCs w:val="22"/>
              </w:rPr>
            </w:pPr>
            <w:r>
              <w:rPr>
                <w:rFonts w:hint="eastAsia"/>
                <w:b/>
                <w:bCs/>
                <w:color w:val="000000"/>
                <w:kern w:val="0"/>
                <w:sz w:val="22"/>
                <w:szCs w:val="22"/>
              </w:rPr>
              <w:t>4</w:t>
            </w:r>
          </w:p>
        </w:tc>
        <w:tc>
          <w:tcPr>
            <w:tcW w:w="0" w:type="auto"/>
            <w:shd w:val="clear" w:color="auto" w:fill="FFFFFF"/>
            <w:vAlign w:val="center"/>
          </w:tcPr>
          <w:p w14:paraId="5698FAB3">
            <w:pPr>
              <w:widowControl/>
              <w:spacing w:line="0" w:lineRule="atLeast"/>
              <w:jc w:val="center"/>
              <w:rPr>
                <w:b/>
                <w:bCs/>
                <w:color w:val="000000"/>
                <w:kern w:val="0"/>
                <w:sz w:val="22"/>
                <w:szCs w:val="22"/>
              </w:rPr>
            </w:pPr>
            <w:r>
              <w:rPr>
                <w:rFonts w:hint="eastAsia"/>
                <w:b/>
                <w:bCs/>
                <w:color w:val="000000"/>
                <w:kern w:val="0"/>
                <w:sz w:val="22"/>
                <w:szCs w:val="22"/>
              </w:rPr>
              <w:t>3</w:t>
            </w:r>
          </w:p>
        </w:tc>
      </w:tr>
      <w:tr w14:paraId="6FEB5A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0" w:type="auto"/>
            <w:vMerge w:val="restart"/>
            <w:shd w:val="clear" w:color="auto" w:fill="FFFFFF"/>
            <w:vAlign w:val="center"/>
          </w:tcPr>
          <w:p w14:paraId="14CAFDE7">
            <w:pPr>
              <w:widowControl/>
              <w:spacing w:line="0" w:lineRule="atLeast"/>
              <w:jc w:val="center"/>
              <w:rPr>
                <w:color w:val="000000"/>
                <w:kern w:val="0"/>
                <w:sz w:val="22"/>
                <w:szCs w:val="22"/>
              </w:rPr>
            </w:pPr>
            <w:r>
              <w:rPr>
                <w:color w:val="000000"/>
                <w:kern w:val="0"/>
                <w:sz w:val="22"/>
                <w:szCs w:val="22"/>
              </w:rPr>
              <w:t>　</w:t>
            </w:r>
          </w:p>
          <w:p w14:paraId="15A4A812">
            <w:pPr>
              <w:spacing w:line="0" w:lineRule="atLeast"/>
              <w:jc w:val="center"/>
              <w:rPr>
                <w:color w:val="000000"/>
                <w:kern w:val="0"/>
                <w:sz w:val="22"/>
                <w:szCs w:val="22"/>
              </w:rPr>
            </w:pPr>
            <w:r>
              <w:rPr>
                <w:color w:val="000000"/>
                <w:kern w:val="0"/>
                <w:sz w:val="22"/>
                <w:szCs w:val="22"/>
              </w:rPr>
              <w:t>过程　</w:t>
            </w:r>
          </w:p>
        </w:tc>
        <w:tc>
          <w:tcPr>
            <w:tcW w:w="0" w:type="auto"/>
            <w:shd w:val="clear" w:color="auto" w:fill="FFFFFF"/>
            <w:vAlign w:val="center"/>
          </w:tcPr>
          <w:p w14:paraId="70D63E9A">
            <w:pPr>
              <w:widowControl/>
              <w:spacing w:line="0" w:lineRule="atLeast"/>
              <w:jc w:val="center"/>
              <w:rPr>
                <w:color w:val="000000"/>
                <w:kern w:val="0"/>
                <w:sz w:val="22"/>
                <w:szCs w:val="22"/>
              </w:rPr>
            </w:pPr>
            <w:r>
              <w:rPr>
                <w:color w:val="000000"/>
                <w:kern w:val="0"/>
                <w:sz w:val="22"/>
                <w:szCs w:val="22"/>
              </w:rPr>
              <w:t>资金管理</w:t>
            </w:r>
          </w:p>
        </w:tc>
        <w:tc>
          <w:tcPr>
            <w:tcW w:w="0" w:type="auto"/>
            <w:shd w:val="clear" w:color="auto" w:fill="FFFFFF"/>
            <w:vAlign w:val="center"/>
          </w:tcPr>
          <w:p w14:paraId="75366F9B">
            <w:pPr>
              <w:widowControl/>
              <w:spacing w:line="0" w:lineRule="atLeast"/>
              <w:jc w:val="center"/>
              <w:rPr>
                <w:color w:val="000000"/>
                <w:kern w:val="0"/>
                <w:sz w:val="22"/>
                <w:szCs w:val="22"/>
              </w:rPr>
            </w:pPr>
            <w:r>
              <w:rPr>
                <w:color w:val="000000"/>
                <w:kern w:val="0"/>
                <w:sz w:val="22"/>
                <w:szCs w:val="22"/>
              </w:rPr>
              <w:t>资金使用</w:t>
            </w:r>
          </w:p>
          <w:p w14:paraId="3E626577">
            <w:pPr>
              <w:widowControl/>
              <w:spacing w:line="0" w:lineRule="atLeast"/>
              <w:jc w:val="center"/>
              <w:rPr>
                <w:color w:val="000000"/>
                <w:kern w:val="0"/>
                <w:sz w:val="22"/>
                <w:szCs w:val="22"/>
              </w:rPr>
            </w:pPr>
            <w:r>
              <w:rPr>
                <w:color w:val="000000"/>
                <w:kern w:val="0"/>
                <w:sz w:val="22"/>
                <w:szCs w:val="22"/>
              </w:rPr>
              <w:t>合规性</w:t>
            </w:r>
          </w:p>
        </w:tc>
        <w:tc>
          <w:tcPr>
            <w:tcW w:w="0" w:type="auto"/>
            <w:shd w:val="clear" w:color="000000" w:fill="FFFFFF"/>
            <w:vAlign w:val="center"/>
          </w:tcPr>
          <w:p w14:paraId="0DC90201">
            <w:pPr>
              <w:widowControl/>
              <w:spacing w:line="0" w:lineRule="atLeast"/>
              <w:rPr>
                <w:color w:val="000000"/>
                <w:kern w:val="0"/>
                <w:sz w:val="22"/>
                <w:szCs w:val="22"/>
              </w:rPr>
            </w:pPr>
            <w:r>
              <w:rPr>
                <w:color w:val="000000"/>
                <w:kern w:val="0"/>
                <w:sz w:val="22"/>
                <w:szCs w:val="22"/>
              </w:rPr>
              <w:t>项目资金使用是否符合相关的财务管理制度规定，用以反映和考核项目资金的规范运行情况。</w:t>
            </w:r>
          </w:p>
        </w:tc>
        <w:tc>
          <w:tcPr>
            <w:tcW w:w="0" w:type="auto"/>
            <w:shd w:val="clear" w:color="000000" w:fill="FFFFFF"/>
            <w:vAlign w:val="center"/>
          </w:tcPr>
          <w:p w14:paraId="0511B6DF">
            <w:pPr>
              <w:widowControl/>
              <w:spacing w:line="0" w:lineRule="atLeast"/>
              <w:rPr>
                <w:color w:val="000000"/>
                <w:kern w:val="0"/>
                <w:sz w:val="22"/>
                <w:szCs w:val="22"/>
              </w:rPr>
            </w:pPr>
            <w:r>
              <w:rPr>
                <w:color w:val="000000"/>
                <w:kern w:val="0"/>
                <w:sz w:val="22"/>
                <w:szCs w:val="22"/>
              </w:rPr>
              <w:t>评价要点：</w:t>
            </w:r>
            <w:r>
              <w:rPr>
                <w:color w:val="000000"/>
                <w:kern w:val="0"/>
                <w:sz w:val="22"/>
                <w:szCs w:val="22"/>
              </w:rPr>
              <w:br w:type="textWrapping"/>
            </w:r>
            <w:r>
              <w:rPr>
                <w:color w:val="000000"/>
                <w:kern w:val="0"/>
                <w:sz w:val="22"/>
                <w:szCs w:val="22"/>
              </w:rPr>
              <w:t>①是否符合国家财经法规和财务管理制度以及有关专项资金管理办法的规定；</w:t>
            </w:r>
            <w:r>
              <w:rPr>
                <w:color w:val="000000"/>
                <w:kern w:val="0"/>
                <w:sz w:val="22"/>
                <w:szCs w:val="22"/>
              </w:rPr>
              <w:br w:type="textWrapping"/>
            </w:r>
            <w:r>
              <w:rPr>
                <w:color w:val="000000"/>
                <w:kern w:val="0"/>
                <w:sz w:val="22"/>
                <w:szCs w:val="22"/>
              </w:rPr>
              <w:t>②资金的拨付是否有完整的审批程序和手续；</w:t>
            </w:r>
            <w:r>
              <w:rPr>
                <w:color w:val="000000"/>
                <w:kern w:val="0"/>
                <w:sz w:val="22"/>
                <w:szCs w:val="22"/>
              </w:rPr>
              <w:br w:type="textWrapping"/>
            </w:r>
            <w:r>
              <w:rPr>
                <w:color w:val="000000"/>
                <w:kern w:val="0"/>
                <w:sz w:val="22"/>
                <w:szCs w:val="22"/>
              </w:rPr>
              <w:t>③是否符合项目预算批复或合同规定的用途；</w:t>
            </w:r>
            <w:r>
              <w:rPr>
                <w:color w:val="000000"/>
                <w:kern w:val="0"/>
                <w:sz w:val="22"/>
                <w:szCs w:val="22"/>
              </w:rPr>
              <w:br w:type="textWrapping"/>
            </w:r>
            <w:r>
              <w:rPr>
                <w:color w:val="000000"/>
                <w:kern w:val="0"/>
                <w:sz w:val="22"/>
                <w:szCs w:val="22"/>
              </w:rPr>
              <w:t>④是否存在截留、挤占、挪用、虚列支出等情况。</w:t>
            </w:r>
          </w:p>
        </w:tc>
        <w:tc>
          <w:tcPr>
            <w:tcW w:w="0" w:type="auto"/>
            <w:shd w:val="clear" w:color="000000" w:fill="FFFFFF"/>
            <w:vAlign w:val="center"/>
          </w:tcPr>
          <w:p w14:paraId="010072DE">
            <w:pPr>
              <w:widowControl/>
              <w:spacing w:line="0" w:lineRule="atLeast"/>
              <w:jc w:val="center"/>
              <w:rPr>
                <w:b/>
                <w:bCs/>
                <w:color w:val="000000"/>
                <w:kern w:val="0"/>
                <w:sz w:val="22"/>
                <w:szCs w:val="22"/>
              </w:rPr>
            </w:pPr>
            <w:r>
              <w:rPr>
                <w:rFonts w:hint="eastAsia"/>
                <w:b/>
                <w:bCs/>
                <w:color w:val="000000"/>
                <w:kern w:val="0"/>
                <w:sz w:val="22"/>
                <w:szCs w:val="22"/>
              </w:rPr>
              <w:t>4</w:t>
            </w:r>
          </w:p>
        </w:tc>
        <w:tc>
          <w:tcPr>
            <w:tcW w:w="0" w:type="auto"/>
            <w:shd w:val="clear" w:color="000000" w:fill="FFFFFF"/>
            <w:vAlign w:val="center"/>
          </w:tcPr>
          <w:p w14:paraId="71850A2C">
            <w:pPr>
              <w:widowControl/>
              <w:spacing w:line="0" w:lineRule="atLeast"/>
              <w:jc w:val="center"/>
              <w:rPr>
                <w:b/>
                <w:bCs/>
                <w:color w:val="000000"/>
                <w:kern w:val="0"/>
                <w:sz w:val="22"/>
                <w:szCs w:val="22"/>
              </w:rPr>
            </w:pPr>
            <w:r>
              <w:rPr>
                <w:rFonts w:hint="eastAsia"/>
                <w:b/>
                <w:bCs/>
                <w:color w:val="000000"/>
                <w:kern w:val="0"/>
                <w:sz w:val="22"/>
                <w:szCs w:val="22"/>
              </w:rPr>
              <w:t>4</w:t>
            </w:r>
          </w:p>
        </w:tc>
      </w:tr>
      <w:tr w14:paraId="368DBA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7" w:hRule="atLeast"/>
          <w:jc w:val="center"/>
        </w:trPr>
        <w:tc>
          <w:tcPr>
            <w:tcW w:w="0" w:type="auto"/>
            <w:vMerge w:val="continue"/>
            <w:shd w:val="clear" w:color="auto" w:fill="FFFFFF"/>
            <w:vAlign w:val="center"/>
          </w:tcPr>
          <w:p w14:paraId="5CDF9E8B">
            <w:pPr>
              <w:spacing w:line="0" w:lineRule="atLeast"/>
              <w:jc w:val="center"/>
              <w:rPr>
                <w:color w:val="000000"/>
                <w:kern w:val="0"/>
                <w:sz w:val="22"/>
                <w:szCs w:val="22"/>
              </w:rPr>
            </w:pPr>
          </w:p>
        </w:tc>
        <w:tc>
          <w:tcPr>
            <w:tcW w:w="0" w:type="auto"/>
            <w:vMerge w:val="restart"/>
            <w:shd w:val="clear" w:color="auto" w:fill="FFFFFF"/>
            <w:vAlign w:val="center"/>
          </w:tcPr>
          <w:p w14:paraId="5EF3EF02">
            <w:pPr>
              <w:widowControl/>
              <w:spacing w:line="0" w:lineRule="atLeast"/>
              <w:jc w:val="center"/>
              <w:rPr>
                <w:color w:val="000000"/>
                <w:kern w:val="0"/>
                <w:sz w:val="22"/>
                <w:szCs w:val="22"/>
              </w:rPr>
            </w:pPr>
            <w:r>
              <w:rPr>
                <w:color w:val="000000"/>
                <w:kern w:val="0"/>
                <w:sz w:val="22"/>
                <w:szCs w:val="22"/>
              </w:rPr>
              <w:t>组织实施</w:t>
            </w:r>
          </w:p>
          <w:p w14:paraId="584CFA8A">
            <w:pPr>
              <w:spacing w:line="0" w:lineRule="atLeast"/>
              <w:jc w:val="center"/>
              <w:rPr>
                <w:color w:val="000000"/>
                <w:kern w:val="0"/>
                <w:sz w:val="22"/>
                <w:szCs w:val="22"/>
              </w:rPr>
            </w:pPr>
            <w:r>
              <w:rPr>
                <w:color w:val="000000"/>
                <w:kern w:val="0"/>
                <w:sz w:val="22"/>
                <w:szCs w:val="22"/>
              </w:rPr>
              <w:t>　</w:t>
            </w:r>
          </w:p>
        </w:tc>
        <w:tc>
          <w:tcPr>
            <w:tcW w:w="0" w:type="auto"/>
            <w:shd w:val="clear" w:color="auto" w:fill="FFFFFF"/>
            <w:vAlign w:val="center"/>
          </w:tcPr>
          <w:p w14:paraId="74029812">
            <w:pPr>
              <w:widowControl/>
              <w:spacing w:line="0" w:lineRule="atLeast"/>
              <w:jc w:val="center"/>
              <w:rPr>
                <w:color w:val="000000"/>
                <w:kern w:val="0"/>
                <w:sz w:val="22"/>
                <w:szCs w:val="22"/>
              </w:rPr>
            </w:pPr>
            <w:r>
              <w:rPr>
                <w:color w:val="000000"/>
                <w:kern w:val="0"/>
                <w:sz w:val="22"/>
                <w:szCs w:val="22"/>
              </w:rPr>
              <w:t>管理制度</w:t>
            </w:r>
          </w:p>
          <w:p w14:paraId="4A3F9517">
            <w:pPr>
              <w:widowControl/>
              <w:spacing w:line="0" w:lineRule="atLeast"/>
              <w:jc w:val="center"/>
              <w:rPr>
                <w:color w:val="000000"/>
                <w:kern w:val="0"/>
                <w:sz w:val="22"/>
                <w:szCs w:val="22"/>
              </w:rPr>
            </w:pPr>
            <w:r>
              <w:rPr>
                <w:color w:val="000000"/>
                <w:kern w:val="0"/>
                <w:sz w:val="22"/>
                <w:szCs w:val="22"/>
              </w:rPr>
              <w:t>健全性</w:t>
            </w:r>
          </w:p>
        </w:tc>
        <w:tc>
          <w:tcPr>
            <w:tcW w:w="0" w:type="auto"/>
            <w:shd w:val="clear" w:color="000000" w:fill="FFFFFF"/>
            <w:vAlign w:val="center"/>
          </w:tcPr>
          <w:p w14:paraId="53BDF724">
            <w:pPr>
              <w:widowControl/>
              <w:spacing w:line="0" w:lineRule="atLeast"/>
              <w:rPr>
                <w:color w:val="000000"/>
                <w:kern w:val="0"/>
                <w:sz w:val="22"/>
                <w:szCs w:val="22"/>
              </w:rPr>
            </w:pPr>
            <w:r>
              <w:rPr>
                <w:color w:val="000000"/>
                <w:kern w:val="0"/>
                <w:sz w:val="22"/>
                <w:szCs w:val="22"/>
              </w:rPr>
              <w:t>项目实施单位的财务和业务管理制度是否健全，用以反映和考核财务和业务管理制度对项目顺利实施的保障情况。</w:t>
            </w:r>
          </w:p>
        </w:tc>
        <w:tc>
          <w:tcPr>
            <w:tcW w:w="0" w:type="auto"/>
            <w:shd w:val="clear" w:color="000000" w:fill="FFFFFF"/>
            <w:vAlign w:val="center"/>
          </w:tcPr>
          <w:p w14:paraId="3D0E3CC0">
            <w:pPr>
              <w:widowControl/>
              <w:spacing w:line="0" w:lineRule="atLeast"/>
              <w:rPr>
                <w:color w:val="000000"/>
                <w:kern w:val="0"/>
                <w:sz w:val="22"/>
                <w:szCs w:val="22"/>
              </w:rPr>
            </w:pPr>
            <w:r>
              <w:rPr>
                <w:color w:val="000000"/>
                <w:kern w:val="0"/>
                <w:sz w:val="22"/>
                <w:szCs w:val="22"/>
              </w:rPr>
              <w:t>评价要点：</w:t>
            </w:r>
            <w:r>
              <w:rPr>
                <w:color w:val="000000"/>
                <w:kern w:val="0"/>
                <w:sz w:val="22"/>
                <w:szCs w:val="22"/>
              </w:rPr>
              <w:br w:type="textWrapping"/>
            </w:r>
            <w:r>
              <w:rPr>
                <w:color w:val="000000"/>
                <w:kern w:val="0"/>
                <w:sz w:val="22"/>
                <w:szCs w:val="22"/>
              </w:rPr>
              <w:t>①是否已制定或具有相应的财务和业务管理制度；</w:t>
            </w:r>
            <w:r>
              <w:rPr>
                <w:color w:val="000000"/>
                <w:kern w:val="0"/>
                <w:sz w:val="22"/>
                <w:szCs w:val="22"/>
              </w:rPr>
              <w:br w:type="textWrapping"/>
            </w:r>
            <w:r>
              <w:rPr>
                <w:color w:val="000000"/>
                <w:kern w:val="0"/>
                <w:sz w:val="22"/>
                <w:szCs w:val="22"/>
              </w:rPr>
              <w:t>②财务和业务管理制度是否合法、合规、完整。</w:t>
            </w:r>
          </w:p>
        </w:tc>
        <w:tc>
          <w:tcPr>
            <w:tcW w:w="0" w:type="auto"/>
            <w:shd w:val="clear" w:color="000000" w:fill="FFFFFF"/>
            <w:vAlign w:val="center"/>
          </w:tcPr>
          <w:p w14:paraId="69022595">
            <w:pPr>
              <w:widowControl/>
              <w:spacing w:line="0" w:lineRule="atLeast"/>
              <w:jc w:val="center"/>
              <w:rPr>
                <w:b/>
                <w:bCs/>
                <w:color w:val="000000"/>
                <w:kern w:val="0"/>
                <w:sz w:val="22"/>
                <w:szCs w:val="22"/>
              </w:rPr>
            </w:pPr>
            <w:r>
              <w:rPr>
                <w:rFonts w:hint="eastAsia"/>
                <w:b/>
                <w:bCs/>
                <w:color w:val="000000"/>
                <w:kern w:val="0"/>
                <w:sz w:val="22"/>
                <w:szCs w:val="22"/>
              </w:rPr>
              <w:t>4</w:t>
            </w:r>
          </w:p>
        </w:tc>
        <w:tc>
          <w:tcPr>
            <w:tcW w:w="0" w:type="auto"/>
            <w:shd w:val="clear" w:color="000000" w:fill="FFFFFF"/>
            <w:vAlign w:val="center"/>
          </w:tcPr>
          <w:p w14:paraId="5379B23F">
            <w:pPr>
              <w:widowControl/>
              <w:spacing w:line="0" w:lineRule="atLeast"/>
              <w:jc w:val="center"/>
              <w:rPr>
                <w:b/>
                <w:bCs/>
                <w:color w:val="000000"/>
                <w:kern w:val="0"/>
                <w:sz w:val="22"/>
                <w:szCs w:val="22"/>
              </w:rPr>
            </w:pPr>
            <w:r>
              <w:rPr>
                <w:rFonts w:hint="eastAsia"/>
                <w:b/>
                <w:bCs/>
                <w:color w:val="000000"/>
                <w:kern w:val="0"/>
                <w:sz w:val="22"/>
                <w:szCs w:val="22"/>
              </w:rPr>
              <w:t>4</w:t>
            </w:r>
          </w:p>
        </w:tc>
      </w:tr>
      <w:tr w14:paraId="7D32F6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jc w:val="center"/>
        </w:trPr>
        <w:tc>
          <w:tcPr>
            <w:tcW w:w="0" w:type="auto"/>
            <w:vMerge w:val="continue"/>
            <w:shd w:val="clear" w:color="auto" w:fill="FFFFFF"/>
            <w:vAlign w:val="center"/>
          </w:tcPr>
          <w:p w14:paraId="47895B88">
            <w:pPr>
              <w:widowControl/>
              <w:spacing w:line="0" w:lineRule="atLeast"/>
              <w:jc w:val="center"/>
              <w:rPr>
                <w:color w:val="000000"/>
                <w:kern w:val="0"/>
                <w:sz w:val="22"/>
                <w:szCs w:val="22"/>
              </w:rPr>
            </w:pPr>
          </w:p>
        </w:tc>
        <w:tc>
          <w:tcPr>
            <w:tcW w:w="0" w:type="auto"/>
            <w:vMerge w:val="continue"/>
            <w:shd w:val="clear" w:color="auto" w:fill="FFFFFF"/>
            <w:vAlign w:val="center"/>
          </w:tcPr>
          <w:p w14:paraId="633D9E45">
            <w:pPr>
              <w:widowControl/>
              <w:spacing w:line="0" w:lineRule="atLeast"/>
              <w:jc w:val="center"/>
              <w:rPr>
                <w:color w:val="000000"/>
                <w:kern w:val="0"/>
                <w:sz w:val="22"/>
                <w:szCs w:val="22"/>
              </w:rPr>
            </w:pPr>
          </w:p>
        </w:tc>
        <w:tc>
          <w:tcPr>
            <w:tcW w:w="0" w:type="auto"/>
            <w:shd w:val="clear" w:color="auto" w:fill="FFFFFF"/>
            <w:vAlign w:val="center"/>
          </w:tcPr>
          <w:p w14:paraId="6DB52025">
            <w:pPr>
              <w:widowControl/>
              <w:spacing w:line="0" w:lineRule="atLeast"/>
              <w:jc w:val="center"/>
              <w:rPr>
                <w:color w:val="000000"/>
                <w:kern w:val="0"/>
                <w:sz w:val="22"/>
                <w:szCs w:val="22"/>
              </w:rPr>
            </w:pPr>
            <w:r>
              <w:rPr>
                <w:color w:val="000000"/>
                <w:kern w:val="0"/>
                <w:sz w:val="22"/>
                <w:szCs w:val="22"/>
              </w:rPr>
              <w:t>制度执行</w:t>
            </w:r>
          </w:p>
          <w:p w14:paraId="37EDDF85">
            <w:pPr>
              <w:widowControl/>
              <w:spacing w:line="0" w:lineRule="atLeast"/>
              <w:jc w:val="center"/>
              <w:rPr>
                <w:color w:val="000000"/>
                <w:kern w:val="0"/>
                <w:sz w:val="22"/>
                <w:szCs w:val="22"/>
              </w:rPr>
            </w:pPr>
            <w:r>
              <w:rPr>
                <w:color w:val="000000"/>
                <w:kern w:val="0"/>
                <w:sz w:val="22"/>
                <w:szCs w:val="22"/>
              </w:rPr>
              <w:t>有效性</w:t>
            </w:r>
          </w:p>
        </w:tc>
        <w:tc>
          <w:tcPr>
            <w:tcW w:w="0" w:type="auto"/>
            <w:shd w:val="clear" w:color="000000" w:fill="FFFFFF"/>
            <w:vAlign w:val="center"/>
          </w:tcPr>
          <w:p w14:paraId="67544932">
            <w:pPr>
              <w:widowControl/>
              <w:spacing w:line="0" w:lineRule="atLeast"/>
              <w:rPr>
                <w:color w:val="000000"/>
                <w:kern w:val="0"/>
                <w:sz w:val="22"/>
                <w:szCs w:val="22"/>
              </w:rPr>
            </w:pPr>
            <w:r>
              <w:rPr>
                <w:color w:val="000000"/>
                <w:kern w:val="0"/>
                <w:sz w:val="22"/>
                <w:szCs w:val="22"/>
              </w:rPr>
              <w:t>项目实施是否符合相关管理规定，用以反映和考核相关管理制度的有效执行情况。</w:t>
            </w:r>
          </w:p>
        </w:tc>
        <w:tc>
          <w:tcPr>
            <w:tcW w:w="0" w:type="auto"/>
            <w:shd w:val="clear" w:color="000000" w:fill="FFFFFF"/>
            <w:vAlign w:val="center"/>
          </w:tcPr>
          <w:p w14:paraId="00977EAB">
            <w:pPr>
              <w:widowControl/>
              <w:spacing w:line="0" w:lineRule="atLeast"/>
              <w:rPr>
                <w:color w:val="000000"/>
                <w:kern w:val="0"/>
                <w:sz w:val="22"/>
                <w:szCs w:val="22"/>
              </w:rPr>
            </w:pPr>
            <w:r>
              <w:rPr>
                <w:color w:val="000000"/>
                <w:kern w:val="0"/>
                <w:sz w:val="22"/>
                <w:szCs w:val="22"/>
              </w:rPr>
              <w:t>评价要点：</w:t>
            </w:r>
            <w:r>
              <w:rPr>
                <w:color w:val="000000"/>
                <w:kern w:val="0"/>
                <w:sz w:val="22"/>
                <w:szCs w:val="22"/>
              </w:rPr>
              <w:br w:type="textWrapping"/>
            </w:r>
            <w:r>
              <w:rPr>
                <w:color w:val="000000"/>
                <w:kern w:val="0"/>
                <w:sz w:val="22"/>
                <w:szCs w:val="22"/>
              </w:rPr>
              <w:t>①是否遵守相关法律法规和相关管理规定；</w:t>
            </w:r>
            <w:r>
              <w:rPr>
                <w:color w:val="000000"/>
                <w:kern w:val="0"/>
                <w:sz w:val="22"/>
                <w:szCs w:val="22"/>
              </w:rPr>
              <w:br w:type="textWrapping"/>
            </w:r>
            <w:r>
              <w:rPr>
                <w:color w:val="000000"/>
                <w:kern w:val="0"/>
                <w:sz w:val="22"/>
                <w:szCs w:val="22"/>
              </w:rPr>
              <w:t>②项目调整及支出调整手续是否完备；</w:t>
            </w:r>
            <w:r>
              <w:rPr>
                <w:color w:val="000000"/>
                <w:kern w:val="0"/>
                <w:sz w:val="22"/>
                <w:szCs w:val="22"/>
              </w:rPr>
              <w:br w:type="textWrapping"/>
            </w:r>
            <w:r>
              <w:rPr>
                <w:color w:val="000000"/>
                <w:kern w:val="0"/>
                <w:sz w:val="22"/>
                <w:szCs w:val="22"/>
              </w:rPr>
              <w:t>③项目合同书、验收报告、技术鉴定等资料是否齐全并及时归档；</w:t>
            </w:r>
            <w:r>
              <w:rPr>
                <w:color w:val="000000"/>
                <w:kern w:val="0"/>
                <w:sz w:val="22"/>
                <w:szCs w:val="22"/>
              </w:rPr>
              <w:br w:type="textWrapping"/>
            </w:r>
            <w:r>
              <w:rPr>
                <w:color w:val="000000"/>
                <w:kern w:val="0"/>
                <w:sz w:val="22"/>
                <w:szCs w:val="22"/>
              </w:rPr>
              <w:t>④项目实施的人员条件、场地设备、信息支撑等是否落实到位。</w:t>
            </w:r>
          </w:p>
        </w:tc>
        <w:tc>
          <w:tcPr>
            <w:tcW w:w="0" w:type="auto"/>
            <w:shd w:val="clear" w:color="000000" w:fill="FFFFFF"/>
            <w:vAlign w:val="center"/>
          </w:tcPr>
          <w:p w14:paraId="3EEBD50A">
            <w:pPr>
              <w:widowControl/>
              <w:spacing w:line="0" w:lineRule="atLeast"/>
              <w:jc w:val="center"/>
              <w:rPr>
                <w:b/>
                <w:bCs/>
                <w:color w:val="000000"/>
                <w:kern w:val="0"/>
                <w:sz w:val="22"/>
                <w:szCs w:val="22"/>
              </w:rPr>
            </w:pPr>
            <w:r>
              <w:rPr>
                <w:rFonts w:hint="eastAsia"/>
                <w:b/>
                <w:bCs/>
                <w:color w:val="000000"/>
                <w:kern w:val="0"/>
                <w:sz w:val="22"/>
                <w:szCs w:val="22"/>
              </w:rPr>
              <w:t>4</w:t>
            </w:r>
          </w:p>
        </w:tc>
        <w:tc>
          <w:tcPr>
            <w:tcW w:w="0" w:type="auto"/>
            <w:shd w:val="clear" w:color="000000" w:fill="FFFFFF"/>
            <w:vAlign w:val="center"/>
          </w:tcPr>
          <w:p w14:paraId="2B7FC928">
            <w:pPr>
              <w:widowControl/>
              <w:spacing w:line="0" w:lineRule="atLeast"/>
              <w:jc w:val="center"/>
              <w:rPr>
                <w:b/>
                <w:bCs/>
                <w:color w:val="000000"/>
                <w:kern w:val="0"/>
                <w:sz w:val="22"/>
                <w:szCs w:val="22"/>
              </w:rPr>
            </w:pPr>
            <w:r>
              <w:rPr>
                <w:rFonts w:hint="eastAsia"/>
                <w:b/>
                <w:bCs/>
                <w:color w:val="000000"/>
                <w:kern w:val="0"/>
                <w:sz w:val="22"/>
                <w:szCs w:val="22"/>
              </w:rPr>
              <w:t>2.8</w:t>
            </w:r>
          </w:p>
        </w:tc>
      </w:tr>
      <w:tr w14:paraId="15DEA6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jc w:val="center"/>
        </w:trPr>
        <w:tc>
          <w:tcPr>
            <w:tcW w:w="0" w:type="auto"/>
            <w:shd w:val="clear" w:color="auto" w:fill="FFFFFF"/>
            <w:vAlign w:val="center"/>
          </w:tcPr>
          <w:p w14:paraId="351B3F1E">
            <w:pPr>
              <w:widowControl/>
              <w:spacing w:line="0" w:lineRule="atLeast"/>
              <w:jc w:val="center"/>
              <w:rPr>
                <w:color w:val="000000"/>
                <w:kern w:val="0"/>
                <w:sz w:val="22"/>
                <w:szCs w:val="22"/>
              </w:rPr>
            </w:pPr>
            <w:r>
              <w:rPr>
                <w:color w:val="000000"/>
                <w:kern w:val="0"/>
                <w:sz w:val="22"/>
                <w:szCs w:val="22"/>
              </w:rPr>
              <w:t>产出</w:t>
            </w:r>
          </w:p>
        </w:tc>
        <w:tc>
          <w:tcPr>
            <w:tcW w:w="0" w:type="auto"/>
            <w:shd w:val="clear" w:color="auto" w:fill="FFFFFF"/>
            <w:vAlign w:val="center"/>
          </w:tcPr>
          <w:p w14:paraId="68B4202F">
            <w:pPr>
              <w:widowControl/>
              <w:spacing w:line="0" w:lineRule="atLeast"/>
              <w:jc w:val="center"/>
              <w:rPr>
                <w:color w:val="000000"/>
                <w:kern w:val="0"/>
                <w:sz w:val="22"/>
                <w:szCs w:val="22"/>
              </w:rPr>
            </w:pPr>
            <w:r>
              <w:rPr>
                <w:color w:val="000000"/>
                <w:kern w:val="0"/>
                <w:sz w:val="22"/>
                <w:szCs w:val="22"/>
              </w:rPr>
              <w:t>产出数量</w:t>
            </w:r>
          </w:p>
        </w:tc>
        <w:tc>
          <w:tcPr>
            <w:tcW w:w="0" w:type="auto"/>
            <w:shd w:val="clear" w:color="auto" w:fill="FFFFFF"/>
            <w:vAlign w:val="center"/>
          </w:tcPr>
          <w:p w14:paraId="14E5B6F5">
            <w:pPr>
              <w:widowControl/>
              <w:spacing w:line="0" w:lineRule="atLeast"/>
              <w:jc w:val="center"/>
              <w:rPr>
                <w:color w:val="000000"/>
                <w:kern w:val="0"/>
                <w:sz w:val="22"/>
                <w:szCs w:val="22"/>
              </w:rPr>
            </w:pPr>
            <w:r>
              <w:rPr>
                <w:color w:val="000000"/>
                <w:kern w:val="0"/>
                <w:sz w:val="22"/>
                <w:szCs w:val="22"/>
              </w:rPr>
              <w:t>实际完成率</w:t>
            </w:r>
          </w:p>
        </w:tc>
        <w:tc>
          <w:tcPr>
            <w:tcW w:w="0" w:type="auto"/>
            <w:shd w:val="clear" w:color="000000" w:fill="FFFFFF"/>
            <w:vAlign w:val="center"/>
          </w:tcPr>
          <w:p w14:paraId="3D672479">
            <w:pPr>
              <w:widowControl/>
              <w:spacing w:line="0" w:lineRule="atLeast"/>
              <w:rPr>
                <w:color w:val="000000"/>
                <w:kern w:val="0"/>
                <w:sz w:val="22"/>
                <w:szCs w:val="22"/>
              </w:rPr>
            </w:pPr>
            <w:r>
              <w:rPr>
                <w:color w:val="000000"/>
                <w:kern w:val="0"/>
                <w:sz w:val="22"/>
                <w:szCs w:val="22"/>
              </w:rPr>
              <w:t>项目实施的实际产出数与计划产出数的比率，用以反映和考核项目产出数量目标的实现程度。</w:t>
            </w:r>
          </w:p>
        </w:tc>
        <w:tc>
          <w:tcPr>
            <w:tcW w:w="0" w:type="auto"/>
            <w:shd w:val="clear" w:color="000000" w:fill="FFFFFF"/>
            <w:vAlign w:val="center"/>
          </w:tcPr>
          <w:p w14:paraId="68CDF83F">
            <w:pPr>
              <w:widowControl/>
              <w:spacing w:line="0" w:lineRule="atLeast"/>
              <w:rPr>
                <w:color w:val="000000"/>
                <w:kern w:val="0"/>
                <w:sz w:val="22"/>
                <w:szCs w:val="22"/>
              </w:rPr>
            </w:pPr>
            <w:r>
              <w:rPr>
                <w:color w:val="000000"/>
                <w:kern w:val="0"/>
                <w:sz w:val="22"/>
                <w:szCs w:val="22"/>
              </w:rPr>
              <w:t>实际完成率=（实际产出数/计划产出数）×100%。</w:t>
            </w:r>
            <w:r>
              <w:rPr>
                <w:color w:val="000000"/>
                <w:kern w:val="0"/>
                <w:sz w:val="22"/>
                <w:szCs w:val="22"/>
              </w:rPr>
              <w:br w:type="textWrapping"/>
            </w:r>
            <w:r>
              <w:rPr>
                <w:color w:val="000000"/>
                <w:kern w:val="0"/>
                <w:sz w:val="22"/>
                <w:szCs w:val="22"/>
              </w:rPr>
              <w:t>实际产出数：一定时期（本年度或项目期）内项目实际产出的产品或提供的服务数量。</w:t>
            </w:r>
            <w:r>
              <w:rPr>
                <w:color w:val="000000"/>
                <w:kern w:val="0"/>
                <w:sz w:val="22"/>
                <w:szCs w:val="22"/>
              </w:rPr>
              <w:br w:type="textWrapping"/>
            </w:r>
            <w:r>
              <w:rPr>
                <w:color w:val="000000"/>
                <w:kern w:val="0"/>
                <w:sz w:val="22"/>
                <w:szCs w:val="22"/>
              </w:rPr>
              <w:t>计划产出数：项目绩效目标确定的在一定时期（本年度或项目期）内计划产出的产品或提供的服务数量。</w:t>
            </w:r>
          </w:p>
        </w:tc>
        <w:tc>
          <w:tcPr>
            <w:tcW w:w="0" w:type="auto"/>
            <w:shd w:val="clear" w:color="000000" w:fill="FFFFFF"/>
            <w:vAlign w:val="center"/>
          </w:tcPr>
          <w:p w14:paraId="4D3F2CD7">
            <w:pPr>
              <w:widowControl/>
              <w:spacing w:line="0" w:lineRule="atLeast"/>
              <w:jc w:val="center"/>
              <w:rPr>
                <w:b/>
                <w:bCs/>
                <w:color w:val="000000"/>
                <w:kern w:val="0"/>
                <w:sz w:val="22"/>
                <w:szCs w:val="22"/>
              </w:rPr>
            </w:pPr>
            <w:r>
              <w:rPr>
                <w:b/>
                <w:bCs/>
                <w:color w:val="000000"/>
                <w:kern w:val="0"/>
                <w:sz w:val="22"/>
                <w:szCs w:val="22"/>
              </w:rPr>
              <w:t>1</w:t>
            </w:r>
            <w:r>
              <w:rPr>
                <w:rFonts w:hint="eastAsia"/>
                <w:b/>
                <w:bCs/>
                <w:color w:val="000000"/>
                <w:kern w:val="0"/>
                <w:sz w:val="22"/>
                <w:szCs w:val="22"/>
              </w:rPr>
              <w:t>0</w:t>
            </w:r>
          </w:p>
        </w:tc>
        <w:tc>
          <w:tcPr>
            <w:tcW w:w="0" w:type="auto"/>
            <w:shd w:val="clear" w:color="000000" w:fill="FFFFFF"/>
            <w:vAlign w:val="center"/>
          </w:tcPr>
          <w:p w14:paraId="0A957DD6">
            <w:pPr>
              <w:widowControl/>
              <w:spacing w:line="0" w:lineRule="atLeast"/>
              <w:jc w:val="center"/>
              <w:rPr>
                <w:b/>
                <w:bCs/>
                <w:color w:val="000000"/>
                <w:kern w:val="0"/>
                <w:sz w:val="22"/>
                <w:szCs w:val="22"/>
              </w:rPr>
            </w:pPr>
            <w:r>
              <w:rPr>
                <w:rFonts w:hint="eastAsia"/>
                <w:b/>
                <w:bCs/>
                <w:color w:val="000000"/>
                <w:kern w:val="0"/>
                <w:sz w:val="22"/>
                <w:szCs w:val="22"/>
              </w:rPr>
              <w:t>10</w:t>
            </w:r>
          </w:p>
        </w:tc>
      </w:tr>
      <w:tr w14:paraId="6955DE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0" w:type="auto"/>
            <w:vMerge w:val="restart"/>
            <w:shd w:val="clear" w:color="auto" w:fill="FFFFFF"/>
            <w:vAlign w:val="center"/>
          </w:tcPr>
          <w:p w14:paraId="19CE38CE">
            <w:pPr>
              <w:widowControl/>
              <w:spacing w:line="0" w:lineRule="atLeast"/>
              <w:jc w:val="center"/>
              <w:rPr>
                <w:color w:val="000000"/>
                <w:kern w:val="0"/>
                <w:sz w:val="22"/>
                <w:szCs w:val="22"/>
              </w:rPr>
            </w:pPr>
            <w:r>
              <w:rPr>
                <w:color w:val="000000"/>
                <w:kern w:val="0"/>
                <w:sz w:val="22"/>
                <w:szCs w:val="22"/>
              </w:rPr>
              <w:t>产出</w:t>
            </w:r>
          </w:p>
        </w:tc>
        <w:tc>
          <w:tcPr>
            <w:tcW w:w="0" w:type="auto"/>
            <w:shd w:val="clear" w:color="auto" w:fill="FFFFFF"/>
            <w:vAlign w:val="center"/>
          </w:tcPr>
          <w:p w14:paraId="598B4CB5">
            <w:pPr>
              <w:widowControl/>
              <w:spacing w:line="0" w:lineRule="atLeast"/>
              <w:jc w:val="center"/>
              <w:rPr>
                <w:color w:val="000000"/>
                <w:kern w:val="0"/>
                <w:sz w:val="22"/>
                <w:szCs w:val="22"/>
              </w:rPr>
            </w:pPr>
            <w:r>
              <w:rPr>
                <w:color w:val="000000"/>
                <w:kern w:val="0"/>
                <w:sz w:val="22"/>
                <w:szCs w:val="22"/>
              </w:rPr>
              <w:t>产出质量</w:t>
            </w:r>
          </w:p>
        </w:tc>
        <w:tc>
          <w:tcPr>
            <w:tcW w:w="0" w:type="auto"/>
            <w:shd w:val="clear" w:color="auto" w:fill="FFFFFF"/>
            <w:vAlign w:val="center"/>
          </w:tcPr>
          <w:p w14:paraId="53E70D22">
            <w:pPr>
              <w:widowControl/>
              <w:spacing w:line="0" w:lineRule="atLeast"/>
              <w:jc w:val="center"/>
              <w:rPr>
                <w:color w:val="000000"/>
                <w:kern w:val="0"/>
                <w:sz w:val="22"/>
                <w:szCs w:val="22"/>
              </w:rPr>
            </w:pPr>
            <w:r>
              <w:rPr>
                <w:color w:val="000000"/>
                <w:kern w:val="0"/>
                <w:sz w:val="22"/>
                <w:szCs w:val="22"/>
              </w:rPr>
              <w:t>质量达标率</w:t>
            </w:r>
          </w:p>
        </w:tc>
        <w:tc>
          <w:tcPr>
            <w:tcW w:w="0" w:type="auto"/>
            <w:shd w:val="clear" w:color="000000" w:fill="FFFFFF"/>
            <w:vAlign w:val="center"/>
          </w:tcPr>
          <w:p w14:paraId="296A272A">
            <w:pPr>
              <w:widowControl/>
              <w:spacing w:line="0" w:lineRule="atLeast"/>
              <w:rPr>
                <w:color w:val="000000"/>
                <w:kern w:val="0"/>
                <w:sz w:val="22"/>
                <w:szCs w:val="22"/>
              </w:rPr>
            </w:pPr>
            <w:r>
              <w:rPr>
                <w:color w:val="000000"/>
                <w:kern w:val="0"/>
                <w:sz w:val="22"/>
                <w:szCs w:val="22"/>
              </w:rPr>
              <w:t>项目完成的质量达标产出数与实际产出数的比率，用以反映和考核项目产出质量目标的实现程度。</w:t>
            </w:r>
          </w:p>
        </w:tc>
        <w:tc>
          <w:tcPr>
            <w:tcW w:w="0" w:type="auto"/>
            <w:shd w:val="clear" w:color="000000" w:fill="FFFFFF"/>
            <w:vAlign w:val="center"/>
          </w:tcPr>
          <w:p w14:paraId="458B2375">
            <w:pPr>
              <w:widowControl/>
              <w:spacing w:line="0" w:lineRule="atLeast"/>
              <w:rPr>
                <w:color w:val="000000"/>
                <w:kern w:val="0"/>
                <w:sz w:val="22"/>
                <w:szCs w:val="22"/>
              </w:rPr>
            </w:pPr>
            <w:r>
              <w:rPr>
                <w:color w:val="000000"/>
                <w:kern w:val="0"/>
                <w:sz w:val="22"/>
                <w:szCs w:val="22"/>
              </w:rPr>
              <w:t>质量达标率=（质量达标产出数/实际产出数）×100%。</w:t>
            </w:r>
          </w:p>
          <w:p w14:paraId="67C6BC17">
            <w:pPr>
              <w:widowControl/>
              <w:spacing w:line="0" w:lineRule="atLeast"/>
              <w:rPr>
                <w:color w:val="000000"/>
                <w:kern w:val="0"/>
                <w:sz w:val="22"/>
                <w:szCs w:val="22"/>
              </w:rPr>
            </w:pPr>
            <w:r>
              <w:rPr>
                <w:color w:val="000000"/>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0" w:type="auto"/>
            <w:shd w:val="clear" w:color="000000" w:fill="FFFFFF"/>
            <w:vAlign w:val="center"/>
          </w:tcPr>
          <w:p w14:paraId="3FC3D744">
            <w:pPr>
              <w:widowControl/>
              <w:spacing w:line="0" w:lineRule="atLeast"/>
              <w:jc w:val="center"/>
              <w:rPr>
                <w:b/>
                <w:bCs/>
                <w:color w:val="000000"/>
                <w:kern w:val="0"/>
                <w:sz w:val="22"/>
                <w:szCs w:val="22"/>
              </w:rPr>
            </w:pPr>
            <w:r>
              <w:rPr>
                <w:b/>
                <w:bCs/>
                <w:color w:val="000000"/>
                <w:kern w:val="0"/>
                <w:sz w:val="22"/>
                <w:szCs w:val="22"/>
              </w:rPr>
              <w:t>10</w:t>
            </w:r>
          </w:p>
        </w:tc>
        <w:tc>
          <w:tcPr>
            <w:tcW w:w="0" w:type="auto"/>
            <w:shd w:val="clear" w:color="000000" w:fill="FFFFFF"/>
            <w:vAlign w:val="center"/>
          </w:tcPr>
          <w:p w14:paraId="3D8E4F50">
            <w:pPr>
              <w:widowControl/>
              <w:spacing w:line="0" w:lineRule="atLeast"/>
              <w:jc w:val="center"/>
              <w:rPr>
                <w:b/>
                <w:bCs/>
                <w:color w:val="000000"/>
                <w:kern w:val="0"/>
                <w:sz w:val="22"/>
                <w:szCs w:val="22"/>
              </w:rPr>
            </w:pPr>
            <w:r>
              <w:rPr>
                <w:rFonts w:hint="eastAsia"/>
                <w:b/>
                <w:bCs/>
                <w:color w:val="000000"/>
                <w:kern w:val="0"/>
                <w:sz w:val="22"/>
                <w:szCs w:val="22"/>
              </w:rPr>
              <w:t>9</w:t>
            </w:r>
          </w:p>
        </w:tc>
      </w:tr>
      <w:tr w14:paraId="5EEE64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jc w:val="center"/>
        </w:trPr>
        <w:tc>
          <w:tcPr>
            <w:tcW w:w="0" w:type="auto"/>
            <w:vMerge w:val="continue"/>
            <w:shd w:val="clear" w:color="auto" w:fill="FFFFFF"/>
            <w:vAlign w:val="center"/>
          </w:tcPr>
          <w:p w14:paraId="7C089202">
            <w:pPr>
              <w:spacing w:line="0" w:lineRule="atLeast"/>
              <w:jc w:val="center"/>
              <w:rPr>
                <w:color w:val="000000"/>
                <w:kern w:val="0"/>
                <w:sz w:val="22"/>
                <w:szCs w:val="22"/>
              </w:rPr>
            </w:pPr>
          </w:p>
        </w:tc>
        <w:tc>
          <w:tcPr>
            <w:tcW w:w="0" w:type="auto"/>
            <w:shd w:val="clear" w:color="auto" w:fill="FFFFFF"/>
            <w:vAlign w:val="center"/>
          </w:tcPr>
          <w:p w14:paraId="61B7693A">
            <w:pPr>
              <w:spacing w:line="0" w:lineRule="atLeast"/>
              <w:jc w:val="center"/>
              <w:rPr>
                <w:color w:val="000000"/>
                <w:kern w:val="0"/>
                <w:sz w:val="22"/>
                <w:szCs w:val="22"/>
              </w:rPr>
            </w:pPr>
            <w:r>
              <w:rPr>
                <w:color w:val="000000"/>
                <w:kern w:val="0"/>
                <w:sz w:val="22"/>
                <w:szCs w:val="22"/>
              </w:rPr>
              <w:t>产出时效</w:t>
            </w:r>
          </w:p>
        </w:tc>
        <w:tc>
          <w:tcPr>
            <w:tcW w:w="0" w:type="auto"/>
            <w:shd w:val="clear" w:color="auto" w:fill="FFFFFF"/>
            <w:vAlign w:val="center"/>
          </w:tcPr>
          <w:p w14:paraId="0B1F126E">
            <w:pPr>
              <w:widowControl/>
              <w:spacing w:line="0" w:lineRule="atLeast"/>
              <w:jc w:val="center"/>
              <w:rPr>
                <w:color w:val="000000"/>
                <w:kern w:val="0"/>
                <w:sz w:val="22"/>
                <w:szCs w:val="22"/>
              </w:rPr>
            </w:pPr>
            <w:r>
              <w:rPr>
                <w:color w:val="000000"/>
                <w:kern w:val="0"/>
                <w:sz w:val="22"/>
                <w:szCs w:val="22"/>
              </w:rPr>
              <w:t>完成及时性</w:t>
            </w:r>
          </w:p>
        </w:tc>
        <w:tc>
          <w:tcPr>
            <w:tcW w:w="0" w:type="auto"/>
            <w:shd w:val="clear" w:color="000000" w:fill="FFFFFF"/>
            <w:vAlign w:val="center"/>
          </w:tcPr>
          <w:p w14:paraId="229432D7">
            <w:pPr>
              <w:widowControl/>
              <w:spacing w:line="0" w:lineRule="atLeast"/>
              <w:rPr>
                <w:color w:val="000000"/>
                <w:kern w:val="0"/>
                <w:sz w:val="22"/>
                <w:szCs w:val="22"/>
              </w:rPr>
            </w:pPr>
            <w:r>
              <w:rPr>
                <w:color w:val="000000"/>
                <w:kern w:val="0"/>
                <w:sz w:val="22"/>
                <w:szCs w:val="22"/>
              </w:rPr>
              <w:t>项目实际完成时间与计划完成时间的比较，用以反映和考核项目产出时效目标的实现程度。</w:t>
            </w:r>
          </w:p>
        </w:tc>
        <w:tc>
          <w:tcPr>
            <w:tcW w:w="0" w:type="auto"/>
            <w:shd w:val="clear" w:color="000000" w:fill="FFFFFF"/>
            <w:vAlign w:val="center"/>
          </w:tcPr>
          <w:p w14:paraId="0BA9B4B3">
            <w:pPr>
              <w:widowControl/>
              <w:spacing w:line="0" w:lineRule="atLeast"/>
              <w:rPr>
                <w:color w:val="000000"/>
                <w:kern w:val="0"/>
                <w:sz w:val="22"/>
                <w:szCs w:val="22"/>
              </w:rPr>
            </w:pPr>
            <w:r>
              <w:rPr>
                <w:color w:val="000000"/>
                <w:kern w:val="0"/>
                <w:sz w:val="22"/>
                <w:szCs w:val="22"/>
              </w:rPr>
              <w:t>实际完成时间：项目实施单位完成该项目实际所耗用的时间。</w:t>
            </w:r>
            <w:r>
              <w:rPr>
                <w:color w:val="000000"/>
                <w:kern w:val="0"/>
                <w:sz w:val="22"/>
                <w:szCs w:val="22"/>
              </w:rPr>
              <w:br w:type="textWrapping"/>
            </w:r>
            <w:r>
              <w:rPr>
                <w:color w:val="000000"/>
                <w:kern w:val="0"/>
                <w:sz w:val="22"/>
                <w:szCs w:val="22"/>
              </w:rPr>
              <w:t>计划完成时间：按照项目实施计划或相关规定完成该项目所需的时间。</w:t>
            </w:r>
          </w:p>
        </w:tc>
        <w:tc>
          <w:tcPr>
            <w:tcW w:w="0" w:type="auto"/>
            <w:shd w:val="clear" w:color="000000" w:fill="FFFFFF"/>
            <w:vAlign w:val="center"/>
          </w:tcPr>
          <w:p w14:paraId="52398C74">
            <w:pPr>
              <w:widowControl/>
              <w:spacing w:line="0" w:lineRule="atLeast"/>
              <w:jc w:val="center"/>
              <w:rPr>
                <w:b/>
                <w:bCs/>
                <w:color w:val="000000"/>
                <w:kern w:val="0"/>
                <w:sz w:val="22"/>
                <w:szCs w:val="22"/>
              </w:rPr>
            </w:pPr>
            <w:r>
              <w:rPr>
                <w:b/>
                <w:bCs/>
                <w:color w:val="000000"/>
                <w:kern w:val="0"/>
                <w:sz w:val="22"/>
                <w:szCs w:val="22"/>
              </w:rPr>
              <w:t>1</w:t>
            </w:r>
            <w:r>
              <w:rPr>
                <w:rFonts w:hint="eastAsia"/>
                <w:b/>
                <w:bCs/>
                <w:color w:val="000000"/>
                <w:kern w:val="0"/>
                <w:sz w:val="22"/>
                <w:szCs w:val="22"/>
              </w:rPr>
              <w:t>0</w:t>
            </w:r>
          </w:p>
        </w:tc>
        <w:tc>
          <w:tcPr>
            <w:tcW w:w="0" w:type="auto"/>
            <w:shd w:val="clear" w:color="000000" w:fill="FFFFFF"/>
            <w:vAlign w:val="center"/>
          </w:tcPr>
          <w:p w14:paraId="71C1A371">
            <w:pPr>
              <w:widowControl/>
              <w:spacing w:line="0" w:lineRule="atLeast"/>
              <w:jc w:val="center"/>
              <w:rPr>
                <w:b/>
                <w:bCs/>
                <w:color w:val="000000"/>
                <w:kern w:val="0"/>
                <w:sz w:val="22"/>
                <w:szCs w:val="22"/>
              </w:rPr>
            </w:pPr>
            <w:r>
              <w:rPr>
                <w:rFonts w:hint="eastAsia"/>
                <w:b/>
                <w:bCs/>
                <w:color w:val="000000"/>
                <w:kern w:val="0"/>
                <w:sz w:val="22"/>
                <w:szCs w:val="22"/>
              </w:rPr>
              <w:t>9</w:t>
            </w:r>
          </w:p>
        </w:tc>
      </w:tr>
      <w:tr w14:paraId="43A93E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0" w:type="auto"/>
            <w:vMerge w:val="continue"/>
            <w:shd w:val="clear" w:color="auto" w:fill="FFFFFF"/>
            <w:vAlign w:val="center"/>
          </w:tcPr>
          <w:p w14:paraId="7696D474">
            <w:pPr>
              <w:widowControl/>
              <w:spacing w:line="0" w:lineRule="atLeast"/>
              <w:jc w:val="center"/>
              <w:rPr>
                <w:color w:val="000000"/>
                <w:kern w:val="0"/>
                <w:sz w:val="22"/>
                <w:szCs w:val="22"/>
              </w:rPr>
            </w:pPr>
          </w:p>
        </w:tc>
        <w:tc>
          <w:tcPr>
            <w:tcW w:w="0" w:type="auto"/>
            <w:shd w:val="clear" w:color="auto" w:fill="FFFFFF"/>
            <w:vAlign w:val="center"/>
          </w:tcPr>
          <w:p w14:paraId="208AB5CE">
            <w:pPr>
              <w:widowControl/>
              <w:spacing w:line="0" w:lineRule="atLeast"/>
              <w:jc w:val="center"/>
              <w:rPr>
                <w:color w:val="000000"/>
                <w:kern w:val="0"/>
                <w:sz w:val="22"/>
                <w:szCs w:val="22"/>
              </w:rPr>
            </w:pPr>
            <w:r>
              <w:rPr>
                <w:color w:val="000000"/>
                <w:kern w:val="0"/>
                <w:sz w:val="22"/>
                <w:szCs w:val="22"/>
              </w:rPr>
              <w:t>产出成本</w:t>
            </w:r>
          </w:p>
        </w:tc>
        <w:tc>
          <w:tcPr>
            <w:tcW w:w="0" w:type="auto"/>
            <w:shd w:val="clear" w:color="auto" w:fill="FFFFFF"/>
            <w:vAlign w:val="center"/>
          </w:tcPr>
          <w:p w14:paraId="27E379CE">
            <w:pPr>
              <w:widowControl/>
              <w:spacing w:line="0" w:lineRule="atLeast"/>
              <w:jc w:val="center"/>
              <w:rPr>
                <w:color w:val="000000"/>
                <w:kern w:val="0"/>
                <w:sz w:val="22"/>
                <w:szCs w:val="22"/>
              </w:rPr>
            </w:pPr>
            <w:r>
              <w:rPr>
                <w:color w:val="000000"/>
                <w:kern w:val="0"/>
                <w:sz w:val="22"/>
                <w:szCs w:val="22"/>
              </w:rPr>
              <w:t>成本节约率</w:t>
            </w:r>
          </w:p>
        </w:tc>
        <w:tc>
          <w:tcPr>
            <w:tcW w:w="0" w:type="auto"/>
            <w:shd w:val="clear" w:color="000000" w:fill="FFFFFF"/>
            <w:vAlign w:val="center"/>
          </w:tcPr>
          <w:p w14:paraId="605FAAB5">
            <w:pPr>
              <w:widowControl/>
              <w:spacing w:line="0" w:lineRule="atLeast"/>
              <w:rPr>
                <w:color w:val="000000"/>
                <w:kern w:val="0"/>
                <w:sz w:val="22"/>
                <w:szCs w:val="22"/>
              </w:rPr>
            </w:pPr>
            <w:r>
              <w:rPr>
                <w:color w:val="000000"/>
                <w:kern w:val="0"/>
                <w:sz w:val="22"/>
                <w:szCs w:val="22"/>
              </w:rPr>
              <w:t>完成项目计划工作目标的实际节约成本与计划成本的比率，用以反映和考核项目的成本节约程度。</w:t>
            </w:r>
          </w:p>
        </w:tc>
        <w:tc>
          <w:tcPr>
            <w:tcW w:w="0" w:type="auto"/>
            <w:shd w:val="clear" w:color="000000" w:fill="FFFFFF"/>
            <w:vAlign w:val="center"/>
          </w:tcPr>
          <w:p w14:paraId="614A9EFC">
            <w:pPr>
              <w:widowControl/>
              <w:spacing w:line="0" w:lineRule="atLeast"/>
              <w:rPr>
                <w:color w:val="000000"/>
                <w:kern w:val="0"/>
                <w:sz w:val="22"/>
                <w:szCs w:val="22"/>
              </w:rPr>
            </w:pPr>
            <w:r>
              <w:rPr>
                <w:color w:val="000000"/>
                <w:kern w:val="0"/>
                <w:sz w:val="22"/>
                <w:szCs w:val="22"/>
              </w:rPr>
              <w:br w:type="textWrapping"/>
            </w:r>
            <w:r>
              <w:rPr>
                <w:color w:val="000000"/>
                <w:kern w:val="0"/>
                <w:sz w:val="22"/>
                <w:szCs w:val="22"/>
              </w:rPr>
              <w:t>成本节约率=[（计划成本-实际成本）/计划成本]×100%。</w:t>
            </w:r>
            <w:r>
              <w:rPr>
                <w:color w:val="000000"/>
                <w:kern w:val="0"/>
                <w:sz w:val="22"/>
                <w:szCs w:val="22"/>
              </w:rPr>
              <w:br w:type="textWrapping"/>
            </w:r>
            <w:r>
              <w:rPr>
                <w:color w:val="000000"/>
                <w:kern w:val="0"/>
                <w:sz w:val="22"/>
                <w:szCs w:val="22"/>
              </w:rPr>
              <w:t>实际成本：项目实施单位如期、保质、保量完成既定工作目标实际所耗费的支出。</w:t>
            </w:r>
            <w:r>
              <w:rPr>
                <w:color w:val="000000"/>
                <w:kern w:val="0"/>
                <w:sz w:val="22"/>
                <w:szCs w:val="22"/>
              </w:rPr>
              <w:br w:type="textWrapping"/>
            </w:r>
            <w:r>
              <w:rPr>
                <w:color w:val="000000"/>
                <w:kern w:val="0"/>
                <w:sz w:val="22"/>
                <w:szCs w:val="22"/>
              </w:rPr>
              <w:t>计划成本：项目实施单位为完成工作目标计划安排的支出，一般以项目预算为参考。</w:t>
            </w:r>
          </w:p>
        </w:tc>
        <w:tc>
          <w:tcPr>
            <w:tcW w:w="0" w:type="auto"/>
            <w:shd w:val="clear" w:color="000000" w:fill="FFFFFF"/>
            <w:vAlign w:val="center"/>
          </w:tcPr>
          <w:p w14:paraId="39E5B0C4">
            <w:pPr>
              <w:widowControl/>
              <w:spacing w:line="0" w:lineRule="atLeast"/>
              <w:jc w:val="center"/>
              <w:rPr>
                <w:b/>
                <w:bCs/>
                <w:color w:val="000000"/>
                <w:kern w:val="0"/>
                <w:sz w:val="22"/>
                <w:szCs w:val="22"/>
              </w:rPr>
            </w:pPr>
            <w:r>
              <w:rPr>
                <w:b/>
                <w:bCs/>
                <w:color w:val="000000"/>
                <w:kern w:val="0"/>
                <w:sz w:val="22"/>
                <w:szCs w:val="22"/>
              </w:rPr>
              <w:t>10</w:t>
            </w:r>
          </w:p>
        </w:tc>
        <w:tc>
          <w:tcPr>
            <w:tcW w:w="0" w:type="auto"/>
            <w:shd w:val="clear" w:color="000000" w:fill="FFFFFF"/>
            <w:vAlign w:val="center"/>
          </w:tcPr>
          <w:p w14:paraId="060274B5">
            <w:pPr>
              <w:widowControl/>
              <w:spacing w:line="0" w:lineRule="atLeast"/>
              <w:jc w:val="center"/>
              <w:rPr>
                <w:b/>
                <w:bCs/>
                <w:color w:val="000000"/>
                <w:kern w:val="0"/>
                <w:sz w:val="22"/>
                <w:szCs w:val="22"/>
              </w:rPr>
            </w:pPr>
            <w:r>
              <w:rPr>
                <w:rFonts w:hint="eastAsia"/>
                <w:b/>
                <w:bCs/>
                <w:color w:val="000000"/>
                <w:kern w:val="0"/>
                <w:sz w:val="22"/>
                <w:szCs w:val="22"/>
              </w:rPr>
              <w:t>10</w:t>
            </w:r>
          </w:p>
        </w:tc>
      </w:tr>
      <w:tr w14:paraId="7FA59D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9" w:hRule="atLeast"/>
          <w:jc w:val="center"/>
        </w:trPr>
        <w:tc>
          <w:tcPr>
            <w:tcW w:w="0" w:type="auto"/>
            <w:vMerge w:val="restart"/>
            <w:shd w:val="clear" w:color="auto" w:fill="FFFFFF"/>
            <w:vAlign w:val="center"/>
          </w:tcPr>
          <w:p w14:paraId="6A3C30FC">
            <w:pPr>
              <w:widowControl/>
              <w:spacing w:line="0" w:lineRule="atLeast"/>
              <w:jc w:val="center"/>
              <w:rPr>
                <w:color w:val="000000"/>
                <w:kern w:val="0"/>
                <w:sz w:val="22"/>
                <w:szCs w:val="22"/>
              </w:rPr>
            </w:pPr>
            <w:r>
              <w:rPr>
                <w:color w:val="000000"/>
                <w:kern w:val="0"/>
                <w:sz w:val="22"/>
                <w:szCs w:val="22"/>
              </w:rPr>
              <w:t>效益　</w:t>
            </w:r>
          </w:p>
        </w:tc>
        <w:tc>
          <w:tcPr>
            <w:tcW w:w="0" w:type="auto"/>
            <w:vMerge w:val="restart"/>
            <w:shd w:val="clear" w:color="auto" w:fill="FFFFFF"/>
            <w:vAlign w:val="center"/>
          </w:tcPr>
          <w:p w14:paraId="02C04772">
            <w:pPr>
              <w:widowControl/>
              <w:spacing w:line="0" w:lineRule="atLeast"/>
              <w:jc w:val="center"/>
              <w:rPr>
                <w:color w:val="000000"/>
                <w:kern w:val="0"/>
                <w:sz w:val="22"/>
                <w:szCs w:val="22"/>
              </w:rPr>
            </w:pPr>
            <w:r>
              <w:rPr>
                <w:color w:val="000000"/>
                <w:kern w:val="0"/>
                <w:sz w:val="22"/>
                <w:szCs w:val="22"/>
              </w:rPr>
              <w:t>项目效益　</w:t>
            </w:r>
          </w:p>
        </w:tc>
        <w:tc>
          <w:tcPr>
            <w:tcW w:w="0" w:type="auto"/>
            <w:shd w:val="clear" w:color="auto" w:fill="FFFFFF"/>
            <w:vAlign w:val="center"/>
          </w:tcPr>
          <w:p w14:paraId="0A921FA5">
            <w:pPr>
              <w:widowControl/>
              <w:spacing w:line="0" w:lineRule="atLeast"/>
              <w:jc w:val="center"/>
              <w:rPr>
                <w:color w:val="000000"/>
                <w:kern w:val="0"/>
                <w:sz w:val="22"/>
                <w:szCs w:val="22"/>
              </w:rPr>
            </w:pPr>
            <w:r>
              <w:rPr>
                <w:color w:val="000000"/>
                <w:kern w:val="0"/>
                <w:sz w:val="22"/>
                <w:szCs w:val="22"/>
              </w:rPr>
              <w:t>实施效益</w:t>
            </w:r>
          </w:p>
        </w:tc>
        <w:tc>
          <w:tcPr>
            <w:tcW w:w="0" w:type="auto"/>
            <w:shd w:val="clear" w:color="auto" w:fill="FFFFFF"/>
            <w:vAlign w:val="center"/>
          </w:tcPr>
          <w:p w14:paraId="1892C17B">
            <w:pPr>
              <w:widowControl/>
              <w:spacing w:line="0" w:lineRule="atLeast"/>
              <w:jc w:val="left"/>
              <w:rPr>
                <w:color w:val="000000"/>
                <w:kern w:val="0"/>
                <w:sz w:val="22"/>
                <w:szCs w:val="22"/>
              </w:rPr>
            </w:pPr>
            <w:r>
              <w:rPr>
                <w:color w:val="000000"/>
                <w:kern w:val="0"/>
                <w:sz w:val="22"/>
                <w:szCs w:val="22"/>
              </w:rPr>
              <w:t>项目实施所产生的效益。</w:t>
            </w:r>
          </w:p>
        </w:tc>
        <w:tc>
          <w:tcPr>
            <w:tcW w:w="0" w:type="auto"/>
            <w:shd w:val="clear" w:color="auto" w:fill="FFFFFF"/>
            <w:vAlign w:val="center"/>
          </w:tcPr>
          <w:p w14:paraId="5581801F">
            <w:pPr>
              <w:widowControl/>
              <w:spacing w:line="0" w:lineRule="atLeast"/>
              <w:rPr>
                <w:color w:val="000000"/>
                <w:kern w:val="0"/>
                <w:sz w:val="22"/>
                <w:szCs w:val="22"/>
              </w:rPr>
            </w:pPr>
            <w:r>
              <w:rPr>
                <w:color w:val="000000"/>
                <w:kern w:val="0"/>
                <w:sz w:val="22"/>
                <w:szCs w:val="22"/>
              </w:rPr>
              <w:t>项目实施所产生的社会效益、经济效益、生态效益、可持续影响等。可根据项目实际情况有选择地设置和细化。</w:t>
            </w:r>
          </w:p>
        </w:tc>
        <w:tc>
          <w:tcPr>
            <w:tcW w:w="0" w:type="auto"/>
            <w:shd w:val="clear" w:color="auto" w:fill="FFFFFF"/>
            <w:vAlign w:val="center"/>
          </w:tcPr>
          <w:p w14:paraId="34DB34EF">
            <w:pPr>
              <w:widowControl/>
              <w:spacing w:line="0" w:lineRule="atLeast"/>
              <w:jc w:val="center"/>
              <w:rPr>
                <w:b/>
                <w:bCs/>
                <w:color w:val="000000"/>
                <w:kern w:val="0"/>
                <w:sz w:val="22"/>
                <w:szCs w:val="22"/>
              </w:rPr>
            </w:pPr>
            <w:r>
              <w:rPr>
                <w:rFonts w:hint="eastAsia"/>
                <w:b/>
                <w:bCs/>
                <w:color w:val="000000"/>
                <w:kern w:val="0"/>
                <w:sz w:val="22"/>
                <w:szCs w:val="22"/>
              </w:rPr>
              <w:t>15</w:t>
            </w:r>
          </w:p>
        </w:tc>
        <w:tc>
          <w:tcPr>
            <w:tcW w:w="0" w:type="auto"/>
            <w:shd w:val="clear" w:color="auto" w:fill="FFFFFF"/>
            <w:vAlign w:val="center"/>
          </w:tcPr>
          <w:p w14:paraId="1D3026F3">
            <w:pPr>
              <w:widowControl/>
              <w:spacing w:line="0" w:lineRule="atLeast"/>
              <w:jc w:val="center"/>
              <w:rPr>
                <w:b/>
                <w:bCs/>
                <w:color w:val="000000"/>
                <w:kern w:val="0"/>
                <w:sz w:val="22"/>
                <w:szCs w:val="22"/>
              </w:rPr>
            </w:pPr>
            <w:r>
              <w:rPr>
                <w:rFonts w:hint="eastAsia"/>
                <w:b/>
                <w:bCs/>
                <w:color w:val="000000"/>
                <w:kern w:val="0"/>
                <w:sz w:val="22"/>
                <w:szCs w:val="22"/>
              </w:rPr>
              <w:t>15</w:t>
            </w:r>
          </w:p>
        </w:tc>
      </w:tr>
      <w:tr w14:paraId="0EFF50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jc w:val="center"/>
        </w:trPr>
        <w:tc>
          <w:tcPr>
            <w:tcW w:w="0" w:type="auto"/>
            <w:vMerge w:val="continue"/>
            <w:shd w:val="clear" w:color="auto" w:fill="FFFFFF"/>
            <w:vAlign w:val="center"/>
          </w:tcPr>
          <w:p w14:paraId="3D601082">
            <w:pPr>
              <w:widowControl/>
              <w:spacing w:line="0" w:lineRule="atLeast"/>
              <w:jc w:val="center"/>
              <w:rPr>
                <w:color w:val="000000"/>
                <w:kern w:val="0"/>
                <w:sz w:val="22"/>
                <w:szCs w:val="22"/>
              </w:rPr>
            </w:pPr>
          </w:p>
        </w:tc>
        <w:tc>
          <w:tcPr>
            <w:tcW w:w="0" w:type="auto"/>
            <w:vMerge w:val="continue"/>
            <w:shd w:val="clear" w:color="auto" w:fill="FFFFFF"/>
            <w:vAlign w:val="center"/>
          </w:tcPr>
          <w:p w14:paraId="39BD356A">
            <w:pPr>
              <w:widowControl/>
              <w:spacing w:line="0" w:lineRule="atLeast"/>
              <w:jc w:val="center"/>
              <w:rPr>
                <w:color w:val="000000"/>
                <w:kern w:val="0"/>
                <w:sz w:val="22"/>
                <w:szCs w:val="22"/>
              </w:rPr>
            </w:pPr>
          </w:p>
        </w:tc>
        <w:tc>
          <w:tcPr>
            <w:tcW w:w="0" w:type="auto"/>
            <w:shd w:val="clear" w:color="auto" w:fill="FFFFFF"/>
            <w:vAlign w:val="center"/>
          </w:tcPr>
          <w:p w14:paraId="58AD8DF9">
            <w:pPr>
              <w:widowControl/>
              <w:spacing w:line="0" w:lineRule="atLeast"/>
              <w:jc w:val="center"/>
              <w:rPr>
                <w:color w:val="000000"/>
                <w:kern w:val="0"/>
                <w:sz w:val="22"/>
                <w:szCs w:val="22"/>
              </w:rPr>
            </w:pPr>
            <w:r>
              <w:rPr>
                <w:color w:val="000000"/>
                <w:kern w:val="0"/>
                <w:sz w:val="22"/>
                <w:szCs w:val="22"/>
              </w:rPr>
              <w:t>满意度</w:t>
            </w:r>
          </w:p>
        </w:tc>
        <w:tc>
          <w:tcPr>
            <w:tcW w:w="0" w:type="auto"/>
            <w:shd w:val="clear" w:color="000000" w:fill="FFFFFF"/>
            <w:vAlign w:val="center"/>
          </w:tcPr>
          <w:p w14:paraId="1CAB3C22">
            <w:pPr>
              <w:widowControl/>
              <w:spacing w:line="0" w:lineRule="atLeast"/>
              <w:rPr>
                <w:color w:val="000000"/>
                <w:kern w:val="0"/>
                <w:sz w:val="22"/>
                <w:szCs w:val="22"/>
              </w:rPr>
            </w:pPr>
            <w:r>
              <w:rPr>
                <w:color w:val="000000"/>
                <w:kern w:val="0"/>
                <w:sz w:val="22"/>
                <w:szCs w:val="22"/>
              </w:rPr>
              <w:t>社会公众或服务对象对项目实施效果的满意程度。</w:t>
            </w:r>
          </w:p>
        </w:tc>
        <w:tc>
          <w:tcPr>
            <w:tcW w:w="0" w:type="auto"/>
            <w:shd w:val="clear" w:color="000000" w:fill="FFFFFF"/>
            <w:vAlign w:val="center"/>
          </w:tcPr>
          <w:p w14:paraId="5CBCA8F4">
            <w:pPr>
              <w:widowControl/>
              <w:spacing w:line="0" w:lineRule="atLeast"/>
              <w:rPr>
                <w:color w:val="000000"/>
                <w:kern w:val="0"/>
                <w:sz w:val="22"/>
                <w:szCs w:val="22"/>
              </w:rPr>
            </w:pPr>
            <w:r>
              <w:rPr>
                <w:color w:val="000000"/>
                <w:kern w:val="0"/>
                <w:sz w:val="22"/>
                <w:szCs w:val="22"/>
              </w:rPr>
              <w:t>社会公众或服务对象是指因该项目实施而受到影响的部门（单位）、群体或个人。一般采取社会调查的方式。</w:t>
            </w:r>
          </w:p>
        </w:tc>
        <w:tc>
          <w:tcPr>
            <w:tcW w:w="0" w:type="auto"/>
            <w:shd w:val="clear" w:color="000000" w:fill="FFFFFF"/>
            <w:vAlign w:val="center"/>
          </w:tcPr>
          <w:p w14:paraId="6792A996">
            <w:pPr>
              <w:widowControl/>
              <w:spacing w:line="0" w:lineRule="atLeast"/>
              <w:jc w:val="center"/>
              <w:rPr>
                <w:b/>
                <w:bCs/>
                <w:color w:val="000000"/>
                <w:kern w:val="0"/>
                <w:sz w:val="22"/>
                <w:szCs w:val="22"/>
              </w:rPr>
            </w:pPr>
            <w:r>
              <w:rPr>
                <w:rFonts w:hint="eastAsia"/>
                <w:b/>
                <w:bCs/>
                <w:color w:val="000000"/>
                <w:kern w:val="0"/>
                <w:sz w:val="22"/>
                <w:szCs w:val="22"/>
              </w:rPr>
              <w:t>5</w:t>
            </w:r>
          </w:p>
        </w:tc>
        <w:tc>
          <w:tcPr>
            <w:tcW w:w="0" w:type="auto"/>
            <w:shd w:val="clear" w:color="000000" w:fill="FFFFFF"/>
            <w:vAlign w:val="center"/>
          </w:tcPr>
          <w:p w14:paraId="1B482DFF">
            <w:pPr>
              <w:widowControl/>
              <w:spacing w:line="0" w:lineRule="atLeast"/>
              <w:jc w:val="center"/>
              <w:rPr>
                <w:b/>
                <w:bCs/>
                <w:color w:val="000000"/>
                <w:kern w:val="0"/>
                <w:sz w:val="22"/>
                <w:szCs w:val="22"/>
              </w:rPr>
            </w:pPr>
            <w:r>
              <w:rPr>
                <w:rFonts w:hint="eastAsia"/>
                <w:b/>
                <w:bCs/>
                <w:color w:val="000000"/>
                <w:kern w:val="0"/>
                <w:sz w:val="22"/>
                <w:szCs w:val="22"/>
              </w:rPr>
              <w:t>5</w:t>
            </w:r>
          </w:p>
        </w:tc>
      </w:tr>
      <w:bookmarkEnd w:id="2"/>
    </w:tbl>
    <w:p w14:paraId="2E3C42F9">
      <w:pPr>
        <w:pStyle w:val="2"/>
        <w:rPr>
          <w:rFonts w:ascii="Times New Roman" w:hAnsi="Times New Roman"/>
        </w:rPr>
      </w:pPr>
    </w:p>
    <w:p w14:paraId="4EF6D4BC">
      <w:pPr>
        <w:spacing w:line="540" w:lineRule="exact"/>
        <w:rPr>
          <w:rStyle w:val="23"/>
          <w:rFonts w:eastAsia="仿宋"/>
          <w:b w:val="0"/>
          <w:spacing w:val="-4"/>
          <w:sz w:val="32"/>
          <w:szCs w:val="32"/>
        </w:rPr>
      </w:pPr>
    </w:p>
    <w:sectPr>
      <w:pgSz w:w="16838" w:h="11906" w:orient="landscape"/>
      <w:pgMar w:top="1800" w:right="1440" w:bottom="155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C04B76A-2804-451D-9F69-6B023E6A08C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embedRegular r:id="rId2" w:fontKey="{72D3A055-5A26-45F5-931B-0C8E10705E39}"/>
  </w:font>
  <w:font w:name="华文中宋">
    <w:panose1 w:val="02010600040101010101"/>
    <w:charset w:val="86"/>
    <w:family w:val="auto"/>
    <w:pitch w:val="default"/>
    <w:sig w:usb0="00000287" w:usb1="080F0000" w:usb2="00000000" w:usb3="00000000" w:csb0="0004009F" w:csb1="DFD70000"/>
    <w:embedRegular r:id="rId3" w:fontKey="{C0CC3C69-F89D-456A-85ED-4FB3BAA3CC02}"/>
  </w:font>
  <w:font w:name="方正小标宋_GBK">
    <w:altName w:val="Arial Unicode MS"/>
    <w:panose1 w:val="02000000000000000000"/>
    <w:charset w:val="86"/>
    <w:family w:val="script"/>
    <w:pitch w:val="default"/>
    <w:sig w:usb0="00000000" w:usb1="00000000" w:usb2="00000000" w:usb3="00000000" w:csb0="00040000" w:csb1="00000000"/>
    <w:embedRegular r:id="rId4" w:fontKey="{E131042C-CCE5-4F44-A65F-A0698FA6AD8A}"/>
  </w:font>
  <w:font w:name="CESI仿宋-GB2312">
    <w:altName w:val="仿宋"/>
    <w:panose1 w:val="02000500000000000000"/>
    <w:charset w:val="86"/>
    <w:family w:val="auto"/>
    <w:pitch w:val="default"/>
    <w:sig w:usb0="00000000" w:usb1="00000000" w:usb2="00000010" w:usb3="00000000" w:csb0="0004000F" w:csb1="00000000"/>
    <w:embedRegular r:id="rId5" w:fontKey="{32816572-B080-4CD9-AE53-5227A916D540}"/>
  </w:font>
  <w:font w:name="楷体_GB2312">
    <w:altName w:val="楷体"/>
    <w:panose1 w:val="02010609030101010101"/>
    <w:charset w:val="86"/>
    <w:family w:val="modern"/>
    <w:pitch w:val="default"/>
    <w:sig w:usb0="00000000" w:usb1="00000000" w:usb2="00000010" w:usb3="00000000" w:csb0="00040000" w:csb1="00000000"/>
    <w:embedRegular r:id="rId6" w:fontKey="{35106DF4-42EE-4D8F-B90D-C08B78BB705E}"/>
  </w:font>
  <w:font w:name="楷体">
    <w:panose1 w:val="02010609060101010101"/>
    <w:charset w:val="86"/>
    <w:family w:val="modern"/>
    <w:pitch w:val="default"/>
    <w:sig w:usb0="800002BF" w:usb1="38CF7CFA" w:usb2="00000016" w:usb3="00000000" w:csb0="00040001" w:csb1="00000000"/>
    <w:embedRegular r:id="rId7" w:fontKey="{1FCB6CB7-AEF5-404B-B165-2039A2DF5725}"/>
  </w:font>
  <w:font w:name="方正小标宋简体">
    <w:altName w:val="Arial Unicode MS"/>
    <w:panose1 w:val="02000000000000000000"/>
    <w:charset w:val="86"/>
    <w:family w:val="auto"/>
    <w:pitch w:val="default"/>
    <w:sig w:usb0="00000000" w:usb1="00000000" w:usb2="00000012" w:usb3="00000000" w:csb0="00040001" w:csb1="00000000"/>
    <w:embedRegular r:id="rId8" w:fontKey="{ED7F8C60-3F21-48E5-A93F-0F2765DB35AF}"/>
  </w:font>
  <w:font w:name="仿宋">
    <w:panose1 w:val="02010609060101010101"/>
    <w:charset w:val="86"/>
    <w:family w:val="modern"/>
    <w:pitch w:val="default"/>
    <w:sig w:usb0="800002BF" w:usb1="38CF7CFA" w:usb2="00000016" w:usb3="00000000" w:csb0="00040001" w:csb1="00000000"/>
    <w:embedRegular r:id="rId9" w:fontKey="{C4241CCB-5644-4066-A4FB-B5D26F24DF41}"/>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EndPr>
      <w:rPr>
        <w:sz w:val="28"/>
        <w:szCs w:val="28"/>
      </w:rPr>
    </w:sdtEndPr>
    <w:sdtContent>
      <w:p w14:paraId="092FD5F1">
        <w:pPr>
          <w:pStyle w:val="16"/>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4 -</w:t>
        </w:r>
        <w:r>
          <w:rPr>
            <w:sz w:val="28"/>
            <w:szCs w:val="28"/>
          </w:rPr>
          <w:fldChar w:fldCharType="end"/>
        </w:r>
      </w:p>
    </w:sdtContent>
  </w:sdt>
  <w:p w14:paraId="29224E53">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450BA">
    <w:pPr>
      <w:pStyle w:val="17"/>
      <w:pBdr>
        <w:bottom w:val="none" w:color="auto" w:sz="0" w:space="0"/>
      </w:pBdr>
    </w:pPr>
  </w:p>
  <w:p w14:paraId="2BBCD4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6B29BF"/>
    <w:multiLevelType w:val="singleLevel"/>
    <w:tmpl w:val="116B29B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JmYTVhMTc5ZWU5YzNmNmM1ZTA2NzEwMmZkYjk2ZTQifQ=="/>
  </w:docVars>
  <w:rsids>
    <w:rsidRoot w:val="00CA6457"/>
    <w:rsid w:val="00024964"/>
    <w:rsid w:val="00055DE0"/>
    <w:rsid w:val="00056465"/>
    <w:rsid w:val="00083867"/>
    <w:rsid w:val="00096A92"/>
    <w:rsid w:val="000C51AE"/>
    <w:rsid w:val="000E50F0"/>
    <w:rsid w:val="000E586C"/>
    <w:rsid w:val="000F0FBB"/>
    <w:rsid w:val="00116EE1"/>
    <w:rsid w:val="00121AE4"/>
    <w:rsid w:val="00121EE9"/>
    <w:rsid w:val="00136968"/>
    <w:rsid w:val="00146AAD"/>
    <w:rsid w:val="001A6BC5"/>
    <w:rsid w:val="001B3A40"/>
    <w:rsid w:val="00200850"/>
    <w:rsid w:val="00210FEA"/>
    <w:rsid w:val="00231D0F"/>
    <w:rsid w:val="00247C11"/>
    <w:rsid w:val="002556C7"/>
    <w:rsid w:val="00280F66"/>
    <w:rsid w:val="002901ED"/>
    <w:rsid w:val="00290C84"/>
    <w:rsid w:val="00314F8E"/>
    <w:rsid w:val="00357CE5"/>
    <w:rsid w:val="00357F2D"/>
    <w:rsid w:val="003748BB"/>
    <w:rsid w:val="003C18BC"/>
    <w:rsid w:val="00430B95"/>
    <w:rsid w:val="004366A8"/>
    <w:rsid w:val="00464900"/>
    <w:rsid w:val="004C3B9C"/>
    <w:rsid w:val="004F3919"/>
    <w:rsid w:val="0050203C"/>
    <w:rsid w:val="00502BA7"/>
    <w:rsid w:val="005162F1"/>
    <w:rsid w:val="00523D9A"/>
    <w:rsid w:val="00525C43"/>
    <w:rsid w:val="005307F5"/>
    <w:rsid w:val="005346A5"/>
    <w:rsid w:val="00535153"/>
    <w:rsid w:val="0054238C"/>
    <w:rsid w:val="00554F82"/>
    <w:rsid w:val="0056390D"/>
    <w:rsid w:val="005719B0"/>
    <w:rsid w:val="005C7A58"/>
    <w:rsid w:val="005D10D6"/>
    <w:rsid w:val="00637585"/>
    <w:rsid w:val="0065130C"/>
    <w:rsid w:val="006D0CA2"/>
    <w:rsid w:val="00712A64"/>
    <w:rsid w:val="00741D4C"/>
    <w:rsid w:val="00757C47"/>
    <w:rsid w:val="0076448E"/>
    <w:rsid w:val="00777B79"/>
    <w:rsid w:val="007806A5"/>
    <w:rsid w:val="007944EB"/>
    <w:rsid w:val="007A2D58"/>
    <w:rsid w:val="007A3508"/>
    <w:rsid w:val="007A3ED9"/>
    <w:rsid w:val="007B5A65"/>
    <w:rsid w:val="007F18A8"/>
    <w:rsid w:val="00827689"/>
    <w:rsid w:val="008502BC"/>
    <w:rsid w:val="0085126D"/>
    <w:rsid w:val="00855E3A"/>
    <w:rsid w:val="0087145B"/>
    <w:rsid w:val="00873786"/>
    <w:rsid w:val="008F7A61"/>
    <w:rsid w:val="00920B8F"/>
    <w:rsid w:val="00922CB9"/>
    <w:rsid w:val="00922F92"/>
    <w:rsid w:val="009522CB"/>
    <w:rsid w:val="009E5AE1"/>
    <w:rsid w:val="009E5CD9"/>
    <w:rsid w:val="009F68CA"/>
    <w:rsid w:val="00A01B47"/>
    <w:rsid w:val="00A11533"/>
    <w:rsid w:val="00A26421"/>
    <w:rsid w:val="00A372A9"/>
    <w:rsid w:val="00A4293B"/>
    <w:rsid w:val="00A67D50"/>
    <w:rsid w:val="00A8691A"/>
    <w:rsid w:val="00AC1946"/>
    <w:rsid w:val="00B20A30"/>
    <w:rsid w:val="00B30776"/>
    <w:rsid w:val="00B34F80"/>
    <w:rsid w:val="00B40063"/>
    <w:rsid w:val="00B41F61"/>
    <w:rsid w:val="00BA46E6"/>
    <w:rsid w:val="00BB4816"/>
    <w:rsid w:val="00C1632D"/>
    <w:rsid w:val="00C20F12"/>
    <w:rsid w:val="00C56C72"/>
    <w:rsid w:val="00C776D0"/>
    <w:rsid w:val="00C937C1"/>
    <w:rsid w:val="00CA6457"/>
    <w:rsid w:val="00CC1E77"/>
    <w:rsid w:val="00CE67D6"/>
    <w:rsid w:val="00D04628"/>
    <w:rsid w:val="00D15153"/>
    <w:rsid w:val="00D17F2E"/>
    <w:rsid w:val="00D30354"/>
    <w:rsid w:val="00DA0858"/>
    <w:rsid w:val="00DC564D"/>
    <w:rsid w:val="00DC68D1"/>
    <w:rsid w:val="00DD108A"/>
    <w:rsid w:val="00DF42A0"/>
    <w:rsid w:val="00DF7C45"/>
    <w:rsid w:val="00E31565"/>
    <w:rsid w:val="00E3355B"/>
    <w:rsid w:val="00E46C51"/>
    <w:rsid w:val="00E659F7"/>
    <w:rsid w:val="00E769FE"/>
    <w:rsid w:val="00E8487D"/>
    <w:rsid w:val="00EA2CBE"/>
    <w:rsid w:val="00F20494"/>
    <w:rsid w:val="00F239BB"/>
    <w:rsid w:val="00F32FEE"/>
    <w:rsid w:val="00F71278"/>
    <w:rsid w:val="00F84D0A"/>
    <w:rsid w:val="00FA15E9"/>
    <w:rsid w:val="00FB10BB"/>
    <w:rsid w:val="00FD3441"/>
    <w:rsid w:val="00FE6888"/>
    <w:rsid w:val="051A56F5"/>
    <w:rsid w:val="066D6EAA"/>
    <w:rsid w:val="06DC1681"/>
    <w:rsid w:val="08C662D4"/>
    <w:rsid w:val="09BD4D95"/>
    <w:rsid w:val="0B0F58D6"/>
    <w:rsid w:val="0F8D41CB"/>
    <w:rsid w:val="0FEE2F21"/>
    <w:rsid w:val="11C75270"/>
    <w:rsid w:val="12637CC3"/>
    <w:rsid w:val="12E657C5"/>
    <w:rsid w:val="133C6E2A"/>
    <w:rsid w:val="167C7687"/>
    <w:rsid w:val="168B3546"/>
    <w:rsid w:val="17575E8E"/>
    <w:rsid w:val="19053298"/>
    <w:rsid w:val="19E07918"/>
    <w:rsid w:val="1A2374E0"/>
    <w:rsid w:val="1AB25DD5"/>
    <w:rsid w:val="1BF54692"/>
    <w:rsid w:val="1C317CE2"/>
    <w:rsid w:val="1DD45808"/>
    <w:rsid w:val="1DED42AC"/>
    <w:rsid w:val="20005763"/>
    <w:rsid w:val="20271F18"/>
    <w:rsid w:val="20E966C5"/>
    <w:rsid w:val="20FB313D"/>
    <w:rsid w:val="220B4804"/>
    <w:rsid w:val="278B653F"/>
    <w:rsid w:val="282475E3"/>
    <w:rsid w:val="29E421D9"/>
    <w:rsid w:val="2C6100C1"/>
    <w:rsid w:val="3235157C"/>
    <w:rsid w:val="3264220D"/>
    <w:rsid w:val="32A83563"/>
    <w:rsid w:val="38872456"/>
    <w:rsid w:val="3963178C"/>
    <w:rsid w:val="3BA5236D"/>
    <w:rsid w:val="3CED0699"/>
    <w:rsid w:val="3EB02FD6"/>
    <w:rsid w:val="3F033B61"/>
    <w:rsid w:val="41CC2676"/>
    <w:rsid w:val="46B21672"/>
    <w:rsid w:val="4F552460"/>
    <w:rsid w:val="4FCC6863"/>
    <w:rsid w:val="500A214A"/>
    <w:rsid w:val="522D604D"/>
    <w:rsid w:val="5297585E"/>
    <w:rsid w:val="52AD7D6F"/>
    <w:rsid w:val="5549519D"/>
    <w:rsid w:val="5557596B"/>
    <w:rsid w:val="5B596DFC"/>
    <w:rsid w:val="5DAE6D00"/>
    <w:rsid w:val="5DF03945"/>
    <w:rsid w:val="5E3A769A"/>
    <w:rsid w:val="5F03526B"/>
    <w:rsid w:val="62E515AF"/>
    <w:rsid w:val="637C2815"/>
    <w:rsid w:val="653B446B"/>
    <w:rsid w:val="666B4FDC"/>
    <w:rsid w:val="67FF13C8"/>
    <w:rsid w:val="682144B7"/>
    <w:rsid w:val="6B503F77"/>
    <w:rsid w:val="6C3B126A"/>
    <w:rsid w:val="6E311968"/>
    <w:rsid w:val="7698E820"/>
    <w:rsid w:val="7A353D0B"/>
    <w:rsid w:val="7CB927D8"/>
    <w:rsid w:val="7D3A5E2F"/>
    <w:rsid w:val="7F7F21B7"/>
    <w:rsid w:val="E6AD73B9"/>
    <w:rsid w:val="FD5A5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4">
    <w:name w:val="heading 2"/>
    <w:basedOn w:val="1"/>
    <w:next w:val="1"/>
    <w:link w:val="26"/>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5">
    <w:name w:val="heading 3"/>
    <w:basedOn w:val="1"/>
    <w:next w:val="1"/>
    <w:link w:val="27"/>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6">
    <w:name w:val="heading 4"/>
    <w:basedOn w:val="1"/>
    <w:next w:val="1"/>
    <w:link w:val="28"/>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7">
    <w:name w:val="heading 5"/>
    <w:basedOn w:val="1"/>
    <w:next w:val="1"/>
    <w:link w:val="29"/>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8">
    <w:name w:val="heading 6"/>
    <w:basedOn w:val="1"/>
    <w:next w:val="1"/>
    <w:link w:val="30"/>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9">
    <w:name w:val="heading 7"/>
    <w:basedOn w:val="1"/>
    <w:next w:val="1"/>
    <w:link w:val="31"/>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10">
    <w:name w:val="heading 8"/>
    <w:basedOn w:val="1"/>
    <w:next w:val="1"/>
    <w:link w:val="32"/>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1">
    <w:name w:val="heading 9"/>
    <w:basedOn w:val="1"/>
    <w:next w:val="1"/>
    <w:link w:val="33"/>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34"/>
    <w:qFormat/>
    <w:uiPriority w:val="10"/>
    <w:pPr>
      <w:widowControl/>
      <w:spacing w:before="240" w:after="60"/>
      <w:jc w:val="center"/>
      <w:outlineLvl w:val="0"/>
    </w:pPr>
    <w:rPr>
      <w:rFonts w:asciiTheme="majorHAnsi" w:hAnsiTheme="majorHAnsi" w:eastAsiaTheme="majorEastAsia"/>
      <w:b/>
      <w:bCs/>
      <w:kern w:val="28"/>
      <w:sz w:val="32"/>
      <w:szCs w:val="32"/>
    </w:rPr>
  </w:style>
  <w:style w:type="paragraph" w:styleId="12">
    <w:name w:val="annotation text"/>
    <w:basedOn w:val="1"/>
    <w:qFormat/>
    <w:uiPriority w:val="0"/>
    <w:pPr>
      <w:jc w:val="left"/>
    </w:pPr>
  </w:style>
  <w:style w:type="paragraph" w:styleId="13">
    <w:name w:val="Body Text"/>
    <w:basedOn w:val="1"/>
    <w:qFormat/>
    <w:uiPriority w:val="0"/>
    <w:pPr>
      <w:spacing w:after="120"/>
    </w:pPr>
  </w:style>
  <w:style w:type="paragraph" w:styleId="14">
    <w:name w:val="Body Text Indent"/>
    <w:basedOn w:val="1"/>
    <w:qFormat/>
    <w:uiPriority w:val="0"/>
    <w:pPr>
      <w:spacing w:after="120"/>
      <w:ind w:left="420" w:leftChars="200"/>
    </w:pPr>
    <w:rPr>
      <w:rFonts w:ascii="Calibri" w:hAnsi="Calibri"/>
    </w:rPr>
  </w:style>
  <w:style w:type="paragraph" w:styleId="15">
    <w:name w:val="Balloon Text"/>
    <w:basedOn w:val="1"/>
    <w:link w:val="50"/>
    <w:semiHidden/>
    <w:unhideWhenUsed/>
    <w:qFormat/>
    <w:uiPriority w:val="99"/>
    <w:rPr>
      <w:sz w:val="18"/>
      <w:szCs w:val="18"/>
    </w:rPr>
  </w:style>
  <w:style w:type="paragraph" w:styleId="16">
    <w:name w:val="footer"/>
    <w:basedOn w:val="1"/>
    <w:link w:val="49"/>
    <w:unhideWhenUsed/>
    <w:qFormat/>
    <w:uiPriority w:val="99"/>
    <w:pPr>
      <w:tabs>
        <w:tab w:val="center" w:pos="4153"/>
        <w:tab w:val="right" w:pos="8306"/>
      </w:tabs>
      <w:snapToGrid w:val="0"/>
      <w:jc w:val="left"/>
    </w:pPr>
    <w:rPr>
      <w:rFonts w:ascii="Calibri" w:hAnsi="Calibri"/>
      <w:sz w:val="18"/>
      <w:szCs w:val="18"/>
    </w:rPr>
  </w:style>
  <w:style w:type="paragraph" w:styleId="17">
    <w:name w:val="header"/>
    <w:basedOn w:val="1"/>
    <w:link w:val="48"/>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8">
    <w:name w:val="Subtitle"/>
    <w:basedOn w:val="1"/>
    <w:next w:val="1"/>
    <w:link w:val="35"/>
    <w:qFormat/>
    <w:uiPriority w:val="11"/>
    <w:pPr>
      <w:widowControl/>
      <w:spacing w:after="60"/>
      <w:jc w:val="center"/>
      <w:outlineLvl w:val="1"/>
    </w:pPr>
    <w:rPr>
      <w:rFonts w:asciiTheme="majorHAnsi" w:hAnsiTheme="majorHAnsi" w:eastAsiaTheme="majorEastAsia"/>
      <w:kern w:val="0"/>
      <w:sz w:val="24"/>
    </w:rPr>
  </w:style>
  <w:style w:type="paragraph" w:styleId="19">
    <w:name w:val="Body Text First Indent"/>
    <w:basedOn w:val="13"/>
    <w:qFormat/>
    <w:uiPriority w:val="0"/>
    <w:pPr>
      <w:spacing w:after="0"/>
      <w:ind w:firstLine="200" w:firstLineChars="200"/>
    </w:pPr>
  </w:style>
  <w:style w:type="paragraph" w:styleId="20">
    <w:name w:val="Body Text First Indent 2"/>
    <w:basedOn w:val="14"/>
    <w:qFormat/>
    <w:uiPriority w:val="0"/>
    <w:pPr>
      <w:ind w:firstLine="420" w:firstLineChars="200"/>
    </w:pPr>
  </w:style>
  <w:style w:type="character" w:styleId="23">
    <w:name w:val="Strong"/>
    <w:basedOn w:val="22"/>
    <w:qFormat/>
    <w:uiPriority w:val="0"/>
    <w:rPr>
      <w:b/>
      <w:bCs/>
    </w:rPr>
  </w:style>
  <w:style w:type="character" w:styleId="24">
    <w:name w:val="Emphasis"/>
    <w:basedOn w:val="22"/>
    <w:qFormat/>
    <w:uiPriority w:val="20"/>
    <w:rPr>
      <w:rFonts w:asciiTheme="minorHAnsi" w:hAnsiTheme="minorHAnsi"/>
      <w:b/>
      <w:i/>
      <w:iCs/>
    </w:rPr>
  </w:style>
  <w:style w:type="character" w:customStyle="1" w:styleId="25">
    <w:name w:val="标题 1 Char"/>
    <w:basedOn w:val="22"/>
    <w:link w:val="3"/>
    <w:qFormat/>
    <w:uiPriority w:val="9"/>
    <w:rPr>
      <w:rFonts w:asciiTheme="majorHAnsi" w:hAnsiTheme="majorHAnsi" w:eastAsiaTheme="majorEastAsia"/>
      <w:b/>
      <w:bCs/>
      <w:kern w:val="32"/>
      <w:sz w:val="32"/>
      <w:szCs w:val="32"/>
    </w:rPr>
  </w:style>
  <w:style w:type="character" w:customStyle="1" w:styleId="26">
    <w:name w:val="标题 2 Char"/>
    <w:basedOn w:val="22"/>
    <w:link w:val="4"/>
    <w:semiHidden/>
    <w:qFormat/>
    <w:uiPriority w:val="9"/>
    <w:rPr>
      <w:rFonts w:asciiTheme="majorHAnsi" w:hAnsiTheme="majorHAnsi" w:eastAsiaTheme="majorEastAsia"/>
      <w:b/>
      <w:bCs/>
      <w:i/>
      <w:iCs/>
      <w:sz w:val="28"/>
      <w:szCs w:val="28"/>
    </w:rPr>
  </w:style>
  <w:style w:type="character" w:customStyle="1" w:styleId="27">
    <w:name w:val="标题 3 Char"/>
    <w:basedOn w:val="22"/>
    <w:link w:val="5"/>
    <w:semiHidden/>
    <w:qFormat/>
    <w:uiPriority w:val="9"/>
    <w:rPr>
      <w:rFonts w:asciiTheme="majorHAnsi" w:hAnsiTheme="majorHAnsi" w:eastAsiaTheme="majorEastAsia"/>
      <w:b/>
      <w:bCs/>
      <w:sz w:val="26"/>
      <w:szCs w:val="26"/>
    </w:rPr>
  </w:style>
  <w:style w:type="character" w:customStyle="1" w:styleId="28">
    <w:name w:val="标题 4 Char"/>
    <w:basedOn w:val="22"/>
    <w:link w:val="6"/>
    <w:semiHidden/>
    <w:qFormat/>
    <w:uiPriority w:val="9"/>
    <w:rPr>
      <w:b/>
      <w:bCs/>
      <w:sz w:val="28"/>
      <w:szCs w:val="28"/>
    </w:rPr>
  </w:style>
  <w:style w:type="character" w:customStyle="1" w:styleId="29">
    <w:name w:val="标题 5 Char"/>
    <w:basedOn w:val="22"/>
    <w:link w:val="7"/>
    <w:semiHidden/>
    <w:qFormat/>
    <w:uiPriority w:val="9"/>
    <w:rPr>
      <w:b/>
      <w:bCs/>
      <w:i/>
      <w:iCs/>
      <w:sz w:val="26"/>
      <w:szCs w:val="26"/>
    </w:rPr>
  </w:style>
  <w:style w:type="character" w:customStyle="1" w:styleId="30">
    <w:name w:val="标题 6 Char"/>
    <w:basedOn w:val="22"/>
    <w:link w:val="8"/>
    <w:semiHidden/>
    <w:qFormat/>
    <w:uiPriority w:val="9"/>
    <w:rPr>
      <w:b/>
      <w:bCs/>
    </w:rPr>
  </w:style>
  <w:style w:type="character" w:customStyle="1" w:styleId="31">
    <w:name w:val="标题 7 Char"/>
    <w:basedOn w:val="22"/>
    <w:link w:val="9"/>
    <w:semiHidden/>
    <w:qFormat/>
    <w:uiPriority w:val="9"/>
    <w:rPr>
      <w:sz w:val="24"/>
      <w:szCs w:val="24"/>
    </w:rPr>
  </w:style>
  <w:style w:type="character" w:customStyle="1" w:styleId="32">
    <w:name w:val="标题 8 Char"/>
    <w:basedOn w:val="22"/>
    <w:link w:val="10"/>
    <w:semiHidden/>
    <w:qFormat/>
    <w:uiPriority w:val="9"/>
    <w:rPr>
      <w:i/>
      <w:iCs/>
      <w:sz w:val="24"/>
      <w:szCs w:val="24"/>
    </w:rPr>
  </w:style>
  <w:style w:type="character" w:customStyle="1" w:styleId="33">
    <w:name w:val="标题 9 Char"/>
    <w:basedOn w:val="22"/>
    <w:link w:val="11"/>
    <w:semiHidden/>
    <w:qFormat/>
    <w:uiPriority w:val="9"/>
    <w:rPr>
      <w:rFonts w:asciiTheme="majorHAnsi" w:hAnsiTheme="majorHAnsi" w:eastAsiaTheme="majorEastAsia"/>
    </w:rPr>
  </w:style>
  <w:style w:type="character" w:customStyle="1" w:styleId="34">
    <w:name w:val="标题 Char"/>
    <w:basedOn w:val="22"/>
    <w:link w:val="2"/>
    <w:qFormat/>
    <w:uiPriority w:val="10"/>
    <w:rPr>
      <w:rFonts w:asciiTheme="majorHAnsi" w:hAnsiTheme="majorHAnsi" w:eastAsiaTheme="majorEastAsia"/>
      <w:b/>
      <w:bCs/>
      <w:kern w:val="28"/>
      <w:sz w:val="32"/>
      <w:szCs w:val="32"/>
    </w:rPr>
  </w:style>
  <w:style w:type="character" w:customStyle="1" w:styleId="35">
    <w:name w:val="副标题 Char"/>
    <w:basedOn w:val="22"/>
    <w:link w:val="18"/>
    <w:qFormat/>
    <w:uiPriority w:val="11"/>
    <w:rPr>
      <w:rFonts w:asciiTheme="majorHAnsi" w:hAnsiTheme="majorHAnsi" w:eastAsiaTheme="majorEastAsia"/>
      <w:sz w:val="24"/>
      <w:szCs w:val="24"/>
    </w:rPr>
  </w:style>
  <w:style w:type="paragraph" w:styleId="36">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7">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8">
    <w:name w:val="Quote"/>
    <w:basedOn w:val="1"/>
    <w:next w:val="1"/>
    <w:link w:val="39"/>
    <w:qFormat/>
    <w:uiPriority w:val="29"/>
    <w:pPr>
      <w:widowControl/>
      <w:jc w:val="left"/>
    </w:pPr>
    <w:rPr>
      <w:rFonts w:asciiTheme="minorHAnsi" w:hAnsiTheme="minorHAnsi" w:eastAsiaTheme="minorEastAsia"/>
      <w:i/>
      <w:kern w:val="0"/>
      <w:sz w:val="24"/>
    </w:rPr>
  </w:style>
  <w:style w:type="character" w:customStyle="1" w:styleId="39">
    <w:name w:val="引用 Char"/>
    <w:basedOn w:val="22"/>
    <w:link w:val="38"/>
    <w:qFormat/>
    <w:uiPriority w:val="29"/>
    <w:rPr>
      <w:i/>
      <w:sz w:val="24"/>
      <w:szCs w:val="24"/>
    </w:rPr>
  </w:style>
  <w:style w:type="paragraph" w:styleId="40">
    <w:name w:val="Intense Quote"/>
    <w:basedOn w:val="1"/>
    <w:next w:val="1"/>
    <w:link w:val="41"/>
    <w:qFormat/>
    <w:uiPriority w:val="30"/>
    <w:pPr>
      <w:widowControl/>
      <w:ind w:left="720" w:right="720"/>
      <w:jc w:val="left"/>
    </w:pPr>
    <w:rPr>
      <w:rFonts w:asciiTheme="minorHAnsi" w:hAnsiTheme="minorHAnsi" w:eastAsiaTheme="minorEastAsia"/>
      <w:b/>
      <w:i/>
      <w:kern w:val="0"/>
      <w:sz w:val="24"/>
      <w:szCs w:val="22"/>
    </w:rPr>
  </w:style>
  <w:style w:type="character" w:customStyle="1" w:styleId="41">
    <w:name w:val="明显引用 Char"/>
    <w:basedOn w:val="22"/>
    <w:link w:val="40"/>
    <w:qFormat/>
    <w:uiPriority w:val="30"/>
    <w:rPr>
      <w:b/>
      <w:i/>
      <w:sz w:val="24"/>
    </w:rPr>
  </w:style>
  <w:style w:type="character" w:customStyle="1" w:styleId="42">
    <w:name w:val="不明显强调1"/>
    <w:qFormat/>
    <w:uiPriority w:val="19"/>
    <w:rPr>
      <w:i/>
      <w:color w:val="585858" w:themeColor="text1" w:themeTint="A6"/>
    </w:rPr>
  </w:style>
  <w:style w:type="character" w:customStyle="1" w:styleId="43">
    <w:name w:val="明显强调1"/>
    <w:basedOn w:val="22"/>
    <w:qFormat/>
    <w:uiPriority w:val="21"/>
    <w:rPr>
      <w:b/>
      <w:i/>
      <w:sz w:val="24"/>
      <w:szCs w:val="24"/>
      <w:u w:val="single"/>
    </w:rPr>
  </w:style>
  <w:style w:type="character" w:customStyle="1" w:styleId="44">
    <w:name w:val="不明显参考1"/>
    <w:basedOn w:val="22"/>
    <w:qFormat/>
    <w:uiPriority w:val="31"/>
    <w:rPr>
      <w:sz w:val="24"/>
      <w:szCs w:val="24"/>
      <w:u w:val="single"/>
    </w:rPr>
  </w:style>
  <w:style w:type="character" w:customStyle="1" w:styleId="45">
    <w:name w:val="明显参考1"/>
    <w:basedOn w:val="22"/>
    <w:qFormat/>
    <w:uiPriority w:val="32"/>
    <w:rPr>
      <w:b/>
      <w:sz w:val="24"/>
      <w:u w:val="single"/>
    </w:rPr>
  </w:style>
  <w:style w:type="character" w:customStyle="1" w:styleId="46">
    <w:name w:val="书籍标题1"/>
    <w:basedOn w:val="22"/>
    <w:qFormat/>
    <w:uiPriority w:val="33"/>
    <w:rPr>
      <w:rFonts w:asciiTheme="majorHAnsi" w:hAnsiTheme="majorHAnsi" w:eastAsiaTheme="majorEastAsia"/>
      <w:b/>
      <w:i/>
      <w:sz w:val="24"/>
      <w:szCs w:val="24"/>
    </w:rPr>
  </w:style>
  <w:style w:type="paragraph" w:customStyle="1" w:styleId="47">
    <w:name w:val="TOC 标题1"/>
    <w:basedOn w:val="3"/>
    <w:next w:val="1"/>
    <w:semiHidden/>
    <w:unhideWhenUsed/>
    <w:qFormat/>
    <w:uiPriority w:val="39"/>
    <w:pPr>
      <w:outlineLvl w:val="9"/>
    </w:pPr>
    <w:rPr>
      <w:lang w:eastAsia="en-US" w:bidi="en-US"/>
    </w:rPr>
  </w:style>
  <w:style w:type="character" w:customStyle="1" w:styleId="48">
    <w:name w:val="页眉 Char"/>
    <w:basedOn w:val="22"/>
    <w:link w:val="17"/>
    <w:qFormat/>
    <w:uiPriority w:val="99"/>
    <w:rPr>
      <w:rFonts w:ascii="Calibri" w:hAnsi="Calibri" w:eastAsia="宋体"/>
      <w:kern w:val="2"/>
      <w:sz w:val="18"/>
      <w:szCs w:val="18"/>
    </w:rPr>
  </w:style>
  <w:style w:type="character" w:customStyle="1" w:styleId="49">
    <w:name w:val="页脚 Char"/>
    <w:basedOn w:val="22"/>
    <w:link w:val="16"/>
    <w:qFormat/>
    <w:uiPriority w:val="99"/>
    <w:rPr>
      <w:rFonts w:ascii="Calibri" w:hAnsi="Calibri" w:eastAsia="宋体"/>
      <w:kern w:val="2"/>
      <w:sz w:val="18"/>
      <w:szCs w:val="18"/>
    </w:rPr>
  </w:style>
  <w:style w:type="character" w:customStyle="1" w:styleId="50">
    <w:name w:val="批注框文本 Char"/>
    <w:basedOn w:val="22"/>
    <w:link w:val="15"/>
    <w:semiHidden/>
    <w:qFormat/>
    <w:uiPriority w:val="99"/>
    <w:rPr>
      <w:rFonts w:ascii="Times New Roman" w:hAnsi="Times New Roman" w:eastAsia="宋体"/>
      <w:kern w:val="2"/>
      <w:sz w:val="18"/>
      <w:szCs w:val="18"/>
    </w:rPr>
  </w:style>
  <w:style w:type="paragraph" w:customStyle="1" w:styleId="51">
    <w:name w:val="Heading2"/>
    <w:next w:val="1"/>
    <w:qFormat/>
    <w:uiPriority w:val="0"/>
    <w:pPr>
      <w:keepNext/>
      <w:keepLines/>
      <w:widowControl w:val="0"/>
      <w:spacing w:before="260" w:after="260" w:line="413" w:lineRule="auto"/>
      <w:jc w:val="both"/>
    </w:pPr>
    <w:rPr>
      <w:rFonts w:ascii="Arial" w:hAnsi="Arial" w:eastAsia="黑体" w:cs="Times New Roman"/>
      <w:b/>
      <w:kern w:val="2"/>
      <w:sz w:val="32"/>
      <w:szCs w:val="22"/>
      <w:lang w:val="en-US" w:eastAsia="zh-CN" w:bidi="ar-SA"/>
    </w:rPr>
  </w:style>
  <w:style w:type="character" w:customStyle="1" w:styleId="52">
    <w:name w:val="fontstyle01"/>
    <w:qFormat/>
    <w:uiPriority w:val="0"/>
    <w:rPr>
      <w:rFonts w:ascii="仿宋_GB2312" w:hAnsi="仿宋_GB2312" w:eastAsia="仿宋_GB2312" w:cs="仿宋_GB2312"/>
      <w:color w:val="000000"/>
      <w:sz w:val="32"/>
      <w:szCs w:val="32"/>
    </w:rPr>
  </w:style>
  <w:style w:type="paragraph" w:customStyle="1" w:styleId="53">
    <w:name w:val="闻政-正文段落文字"/>
    <w:basedOn w:val="1"/>
    <w:qFormat/>
    <w:uiPriority w:val="3"/>
    <w:pPr>
      <w:spacing w:line="500" w:lineRule="exact"/>
      <w:ind w:firstLine="200"/>
    </w:pPr>
    <w:rPr>
      <w:kern w:val="0"/>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9235</Words>
  <Characters>9810</Characters>
  <Lines>63</Lines>
  <Paragraphs>17</Paragraphs>
  <TotalTime>8</TotalTime>
  <ScaleCrop>false</ScaleCrop>
  <LinksUpToDate>false</LinksUpToDate>
  <CharactersWithSpaces>9838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2020-07-05T00:35:00Z</dcterms:created>
  <dc:creator>赵 恺（预算处）</dc:creator>
  <cp:lastModifiedBy>Leon</cp:lastModifiedBy>
  <cp:lastPrinted>2023-03-17T23:59:00Z</cp:lastPrinted>
  <dcterms:modified xsi:type="dcterms:W3CDTF">2024-08-28T06:34:31Z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013360FACCE1418B80C968824022A9DF</vt:lpwstr>
  </property>
  <property fmtid="{D5CDD505-2E9C-101B-9397-08002B2CF9AE}" pid="4" name="KSOSaveFontToCloudKey">
    <vt:lpwstr>0_btnclosed</vt:lpwstr>
  </property>
</Properties>
</file>