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rPr>
        <w:t>旅游业务成本支出</w:t>
      </w:r>
      <w:r>
        <w:rPr>
          <w:rFonts w:eastAsia="方正小标宋_GBK"/>
          <w:kern w:val="0"/>
          <w:sz w:val="48"/>
          <w:szCs w:val="48"/>
        </w:rPr>
        <w:t>项目支出绩效</w:t>
      </w:r>
    </w:p>
    <w:p>
      <w:pPr>
        <w:spacing w:line="540" w:lineRule="exact"/>
        <w:jc w:val="center"/>
        <w:rPr>
          <w:rFonts w:eastAsia="方正小标宋_GBK"/>
          <w:kern w:val="0"/>
          <w:sz w:val="48"/>
          <w:szCs w:val="48"/>
        </w:rPr>
      </w:pPr>
      <w:r>
        <w:rPr>
          <w:rFonts w:eastAsia="方正小标宋_GBK"/>
          <w:kern w:val="0"/>
          <w:sz w:val="48"/>
          <w:szCs w:val="48"/>
        </w:rPr>
        <w:t>评价报告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ind w:firstLine="280" w:firstLineChars="78"/>
        <w:jc w:val="left"/>
        <w:rPr>
          <w:rFonts w:eastAsia="仿宋_GB2312"/>
          <w:kern w:val="0"/>
          <w:sz w:val="36"/>
          <w:szCs w:val="36"/>
        </w:rPr>
      </w:pPr>
      <w:r>
        <w:rPr>
          <w:rFonts w:eastAsia="仿宋_GB2312"/>
          <w:kern w:val="0"/>
          <w:sz w:val="36"/>
          <w:szCs w:val="36"/>
        </w:rPr>
        <w:t>项目名称：</w:t>
      </w:r>
      <w:r>
        <w:rPr>
          <w:rFonts w:hint="eastAsia" w:eastAsia="仿宋_GB2312"/>
          <w:kern w:val="0"/>
          <w:sz w:val="36"/>
          <w:szCs w:val="36"/>
        </w:rPr>
        <w:t>旅游业务成本支出</w:t>
      </w:r>
    </w:p>
    <w:p>
      <w:pPr>
        <w:spacing w:line="700" w:lineRule="exact"/>
        <w:ind w:firstLine="280" w:firstLineChars="78"/>
        <w:jc w:val="left"/>
        <w:rPr>
          <w:rFonts w:eastAsia="仿宋_GB2312"/>
          <w:kern w:val="0"/>
          <w:sz w:val="36"/>
          <w:szCs w:val="36"/>
        </w:rPr>
      </w:pPr>
      <w:r>
        <w:rPr>
          <w:rFonts w:eastAsia="仿宋_GB2312"/>
          <w:kern w:val="0"/>
          <w:sz w:val="36"/>
          <w:szCs w:val="36"/>
        </w:rPr>
        <w:t>实施单位（公章）：</w:t>
      </w:r>
      <w:r>
        <w:rPr>
          <w:rFonts w:hint="eastAsia" w:eastAsia="仿宋_GB2312"/>
          <w:kern w:val="0"/>
          <w:sz w:val="36"/>
          <w:szCs w:val="36"/>
        </w:rPr>
        <w:t>新疆维吾尔自治区旅游培训中心</w:t>
      </w:r>
    </w:p>
    <w:p>
      <w:pPr>
        <w:spacing w:line="700" w:lineRule="exact"/>
        <w:ind w:firstLine="280" w:firstLineChars="78"/>
        <w:jc w:val="left"/>
        <w:rPr>
          <w:rFonts w:eastAsia="仿宋_GB2312"/>
          <w:kern w:val="0"/>
          <w:sz w:val="36"/>
          <w:szCs w:val="36"/>
        </w:rPr>
      </w:pPr>
      <w:r>
        <w:rPr>
          <w:rFonts w:eastAsia="仿宋_GB2312"/>
          <w:kern w:val="0"/>
          <w:sz w:val="36"/>
          <w:szCs w:val="36"/>
        </w:rPr>
        <w:t>主管部门（公章）：</w:t>
      </w:r>
      <w:r>
        <w:rPr>
          <w:rFonts w:hint="eastAsia" w:eastAsia="仿宋_GB2312"/>
          <w:kern w:val="0"/>
          <w:sz w:val="36"/>
          <w:szCs w:val="36"/>
        </w:rPr>
        <w:t>新疆维吾尔自治区文化和旅游厅</w:t>
      </w:r>
    </w:p>
    <w:p>
      <w:pPr>
        <w:spacing w:line="700" w:lineRule="exact"/>
        <w:ind w:firstLine="280" w:firstLineChars="78"/>
        <w:jc w:val="left"/>
        <w:rPr>
          <w:rFonts w:eastAsia="仿宋_GB2312"/>
          <w:kern w:val="0"/>
          <w:sz w:val="36"/>
          <w:szCs w:val="36"/>
        </w:rPr>
      </w:pPr>
      <w:r>
        <w:rPr>
          <w:rFonts w:eastAsia="仿宋_GB2312"/>
          <w:kern w:val="0"/>
          <w:sz w:val="36"/>
          <w:szCs w:val="36"/>
        </w:rPr>
        <w:t>项目负责人（签章）：</w:t>
      </w:r>
      <w:r>
        <w:rPr>
          <w:rFonts w:hint="eastAsia" w:eastAsia="仿宋_GB2312"/>
          <w:kern w:val="0"/>
          <w:sz w:val="36"/>
          <w:szCs w:val="36"/>
        </w:rPr>
        <w:t>雷延坤</w:t>
      </w:r>
    </w:p>
    <w:p>
      <w:pPr>
        <w:spacing w:line="700" w:lineRule="exact"/>
        <w:ind w:firstLine="280" w:firstLineChars="78"/>
        <w:jc w:val="left"/>
        <w:rPr>
          <w:rFonts w:eastAsia="仿宋_GB2312"/>
          <w:kern w:val="0"/>
          <w:sz w:val="36"/>
          <w:szCs w:val="36"/>
        </w:rPr>
      </w:pPr>
      <w:r>
        <w:rPr>
          <w:rFonts w:eastAsia="仿宋_GB2312"/>
          <w:kern w:val="0"/>
          <w:sz w:val="36"/>
          <w:szCs w:val="36"/>
        </w:rPr>
        <w:t>填报</w:t>
      </w:r>
      <w:r>
        <w:rPr>
          <w:rFonts w:hint="eastAsia" w:ascii="CESI仿宋-GB2312" w:hAnsi="CESI仿宋-GB2312" w:eastAsia="CESI仿宋-GB2312" w:cs="CESI仿宋-GB2312"/>
          <w:kern w:val="0"/>
          <w:sz w:val="36"/>
          <w:szCs w:val="36"/>
        </w:rPr>
        <w:t>时间：2023年4月6日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40" w:lineRule="exact"/>
        <w:rPr>
          <w:rStyle w:val="15"/>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bCs/>
          <w:sz w:val="32"/>
          <w:szCs w:val="32"/>
        </w:rPr>
      </w:pPr>
      <w:r>
        <w:rPr>
          <w:rFonts w:eastAsia="黑体"/>
          <w:bCs/>
          <w:sz w:val="32"/>
          <w:szCs w:val="32"/>
        </w:rPr>
        <w:t>一、基本情况</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eastAsia="楷体_GB2312"/>
          <w:b/>
          <w:bCs/>
          <w:sz w:val="32"/>
          <w:szCs w:val="32"/>
        </w:rPr>
      </w:pPr>
      <w:r>
        <w:rPr>
          <w:rFonts w:eastAsia="楷体_GB2312"/>
          <w:b/>
          <w:bCs/>
          <w:sz w:val="32"/>
          <w:szCs w:val="32"/>
        </w:rPr>
        <w:t>（一）项目概况</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项目背景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Cs w:val="21"/>
        </w:rPr>
      </w:pPr>
      <w:r>
        <w:rPr>
          <w:rFonts w:hint="eastAsia" w:ascii="仿宋_GB2312" w:hAnsi="仿宋_GB2312" w:eastAsia="仿宋_GB2312" w:cs="仿宋_GB2312"/>
          <w:sz w:val="32"/>
          <w:szCs w:val="32"/>
        </w:rPr>
        <w:t>自2010年起，因所有资金均纳入预算管理，财政拨付此项资金用于支持培训业务正常开展。根据《自治区党委 自治</w:t>
      </w:r>
      <w:r>
        <w:rPr>
          <w:rFonts w:hint="eastAsia" w:ascii="CESI仿宋-GB2312" w:hAnsi="CESI仿宋-GB2312" w:eastAsia="CESI仿宋-GB2312" w:cs="CESI仿宋-GB2312"/>
          <w:sz w:val="32"/>
          <w:szCs w:val="32"/>
        </w:rPr>
        <w:t>区人民政府关于进一步加快旅游业发展的意见》（</w:t>
      </w:r>
      <w:r>
        <w:rPr>
          <w:rFonts w:hint="eastAsia" w:ascii="CESI仿宋-GB2312" w:hAnsi="CESI仿宋-GB2312" w:eastAsia="CESI仿宋-GB2312" w:cs="CESI仿宋-GB2312"/>
          <w:bCs/>
          <w:sz w:val="32"/>
          <w:szCs w:val="32"/>
        </w:rPr>
        <w:t>新党发〔2017〕6号</w:t>
      </w:r>
      <w:r>
        <w:rPr>
          <w:rFonts w:hint="eastAsia" w:ascii="CESI仿宋-GB2312" w:hAnsi="CESI仿宋-GB2312" w:eastAsia="CESI仿宋-GB2312" w:cs="CESI仿宋-GB2312"/>
          <w:sz w:val="32"/>
          <w:szCs w:val="32"/>
        </w:rPr>
        <w:t>），贯彻落实以习近平同志为核心的党中央治疆</w:t>
      </w:r>
      <w:r>
        <w:rPr>
          <w:rFonts w:hint="eastAsia" w:ascii="仿宋_GB2312" w:hAnsi="仿宋_GB2312" w:eastAsia="仿宋_GB2312" w:cs="仿宋_GB2312"/>
          <w:sz w:val="32"/>
          <w:szCs w:val="32"/>
        </w:rPr>
        <w:t>方略，紧紧围绕“1+3+3+改革开放”工作部署，贯彻落实自治区旅游发展大会精神，特别是陈全国书记关于建强旅游“三个队伍”的重要指示精神，进一步加强行业队伍培训，提升干部队伍素质，为实施旅游兴疆战略，加快建设旅游经济强区和世界重要旅游目的地提供有力支撑，为推动旅游业真正成为新疆战略支柱产业和经济高质量发展的重要引擎储备人才力量。</w:t>
      </w:r>
    </w:p>
    <w:p>
      <w:pPr>
        <w:pStyle w:val="2"/>
        <w:keepNext w:val="0"/>
        <w:keepLines w:val="0"/>
        <w:pageBreakBefore w:val="0"/>
        <w:numPr>
          <w:numId w:val="0"/>
        </w:numPr>
        <w:kinsoku/>
        <w:wordWrap/>
        <w:overflowPunct/>
        <w:topLinePunct w:val="0"/>
        <w:autoSpaceDE/>
        <w:autoSpaceDN/>
        <w:bidi w:val="0"/>
        <w:adjustRightInd/>
        <w:snapToGrid/>
        <w:spacing w:before="0" w:after="0" w:line="560" w:lineRule="exact"/>
        <w:ind w:firstLine="642" w:firstLineChars="200"/>
        <w:jc w:val="both"/>
        <w:textAlignment w:val="auto"/>
        <w:rPr>
          <w:rFonts w:hint="eastAsia" w:ascii="方正仿宋_GBK" w:hAnsi="方正仿宋_GBK" w:eastAsia="方正仿宋_GBK" w:cs="方正仿宋_GBK"/>
          <w:kern w:val="2"/>
        </w:rPr>
      </w:pPr>
      <w:r>
        <w:rPr>
          <w:rFonts w:hint="eastAsia" w:ascii="方正仿宋_GBK" w:hAnsi="方正仿宋_GBK" w:eastAsia="方正仿宋_GBK" w:cs="方正仿宋_GBK"/>
          <w:kern w:val="2"/>
          <w:lang w:val="en-US" w:eastAsia="zh-CN"/>
        </w:rPr>
        <w:t>2.</w:t>
      </w:r>
      <w:r>
        <w:rPr>
          <w:rFonts w:hint="eastAsia" w:ascii="方正仿宋_GBK" w:hAnsi="方正仿宋_GBK" w:eastAsia="方正仿宋_GBK" w:cs="方正仿宋_GBK"/>
          <w:kern w:val="2"/>
        </w:rPr>
        <w:t>项目主要内容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0"/>
          <w:szCs w:val="30"/>
        </w:rPr>
        <w:t>项目主要内容：</w:t>
      </w:r>
      <w:r>
        <w:rPr>
          <w:rFonts w:hint="eastAsia" w:ascii="仿宋_GB2312" w:hAnsi="仿宋_GB2312" w:eastAsia="仿宋_GB2312" w:cs="仿宋_GB2312"/>
          <w:sz w:val="32"/>
          <w:szCs w:val="32"/>
        </w:rPr>
        <w:t>2022年，新疆旅游培训中心将根据我厅党组的统一安排，结合自身职责，对我区本系统内行政管理干部，各层次、各专业旅游从业人员进行有规划的、有重点的统一培训，针对旅游管理干部、旅游企业中高层管理人员和基层服务人员、导游员、参加导考学员，以线上为主、线下为辅的模式，同时采取送教上门、委托培训等相结合的多元化培训模式。利用信息化建设成果，提高工作质量和效率，以线上为主，线下为辅的原则开展各项培训，通过更科学的课程设计，务实的调查研究，制定出有针对性的培训方案和方法，以实现低成本，高质量，扩范围，增人数的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rPr>
      </w:pPr>
      <w:r>
        <w:rPr>
          <w:rFonts w:eastAsia="仿宋_GB2312"/>
          <w:sz w:val="32"/>
          <w:szCs w:val="32"/>
        </w:rPr>
        <w:t>项目实施情况：</w:t>
      </w:r>
      <w:r>
        <w:rPr>
          <w:rFonts w:hint="eastAsia" w:eastAsia="仿宋_GB2312"/>
          <w:sz w:val="32"/>
          <w:szCs w:val="32"/>
        </w:rPr>
        <w:t>财政</w:t>
      </w:r>
      <w:r>
        <w:rPr>
          <w:rFonts w:hint="eastAsia" w:ascii="CESI仿宋-GB2312" w:hAnsi="CESI仿宋-GB2312" w:eastAsia="CESI仿宋-GB2312" w:cs="CESI仿宋-GB2312"/>
          <w:sz w:val="32"/>
          <w:szCs w:val="32"/>
        </w:rPr>
        <w:t>拨款执行率100%，自有资金部分因疫情影响执行率12.46%。</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资金投入和使用情况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（1）资金投入情况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该项目年初预算数170万元，全年预算数170万元，实际总投入170万元，该项目资金已全部落实到位，资金来源为财政拨款100万元，其他资金（自筹）70万元。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该项目年初预算数170万元，全年预算数170万元，全年执行数108.72万元（其中财政拨款100万元，其他资金8.72万元），预算执行率为63.95%，主要用于：</w:t>
      </w:r>
      <w:r>
        <w:rPr>
          <w:rFonts w:hint="eastAsia" w:ascii="仿宋_GB2312" w:hAnsi="仿宋" w:eastAsia="仿宋_GB2312"/>
          <w:sz w:val="32"/>
          <w:szCs w:val="32"/>
        </w:rPr>
        <w:t>组织开展文旅系统干部职工及旅游从业人员的业务培训等工作以及保障中心正常运转的必要人员经费支出。</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eastAsia="楷体_GB2312"/>
          <w:b/>
          <w:bCs/>
          <w:sz w:val="32"/>
          <w:szCs w:val="32"/>
        </w:rPr>
      </w:pPr>
      <w:r>
        <w:rPr>
          <w:rFonts w:eastAsia="楷体_GB2312"/>
          <w:b/>
          <w:bCs/>
          <w:sz w:val="32"/>
          <w:szCs w:val="32"/>
        </w:rPr>
        <w:t>（二）项目绩效目标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利用信息化建设成果，提高工作质量和效率，以线上为主，线下为辅的原则开展各项培训，通过更科学的课程设计，务实的调查研究，制定出有针对性的培训方案和方法，以实现低成本，高质量，扩范围，增人数的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阶段性目标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2022年将开展常规培训（旅游兴疆大讲堂）和委托培训（乡村振兴、旅游经济发展、新媒体人才培养），同时完成信息化建设前期调研工作，为正式启动新疆旅游从业人员培训系统升级做准备，争取建成自治区文化和旅游厅培训信息一体化平台，并为创建自治区文化和旅游网络培训学院做准备。后期系统改造升级将于2023年开始实施；为保障培训业务正常开展按期支付人员经费；按厅党组要求按期支付访惠聚工作队相关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二、绩效评价工作开展情况</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eastAsia="楷体_GB2312"/>
          <w:b/>
          <w:bCs/>
          <w:sz w:val="32"/>
          <w:szCs w:val="32"/>
        </w:rPr>
      </w:pPr>
      <w:r>
        <w:rPr>
          <w:rFonts w:eastAsia="楷体_GB2312"/>
          <w:b/>
          <w:bCs/>
          <w:sz w:val="32"/>
          <w:szCs w:val="32"/>
        </w:rPr>
        <w:t>（一）绩效评价目的、对象和范围</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方正仿宋_GBK" w:hAnsi="方正仿宋_GBK" w:eastAsia="方正仿宋_GBK" w:cs="方正仿宋_GBK"/>
          <w:b w:val="0"/>
          <w:bCs w:val="0"/>
        </w:rPr>
        <w:t>1</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绩效评价的</w:t>
      </w:r>
      <w:r>
        <w:rPr>
          <w:rFonts w:ascii="Times New Roman" w:hAnsi="Times New Roman" w:eastAsia="仿宋_GB2312"/>
          <w:b w:val="0"/>
          <w:bCs w:val="0"/>
        </w:rPr>
        <w:t>目的</w:t>
      </w:r>
    </w:p>
    <w:p>
      <w:pPr>
        <w:pStyle w:val="1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方正仿宋_GBK" w:cs="方正仿宋_GBK"/>
          <w:sz w:val="32"/>
          <w:szCs w:val="32"/>
        </w:rPr>
      </w:pPr>
      <w:r>
        <w:rPr>
          <w:rFonts w:eastAsia="仿宋_GB2312"/>
          <w:sz w:val="32"/>
          <w:szCs w:val="32"/>
        </w:rPr>
        <w:t>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方正仿宋_GBK" w:hAnsi="方正仿宋_GBK" w:eastAsia="方正仿宋_GBK" w:cs="方正仿宋_GBK"/>
          <w:b w:val="0"/>
          <w:bCs w:val="0"/>
        </w:rPr>
        <w:t>2</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效评价的对象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旅游业务成本支出项目所包含的全部项目内容。</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方正仿宋_GBK" w:hAnsi="方正仿宋_GBK" w:eastAsia="方正仿宋_GBK" w:cs="方正仿宋_GBK"/>
          <w:b w:val="0"/>
          <w:bCs w:val="0"/>
        </w:rPr>
        <w:t>3</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效评价的范围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w:t>
      </w:r>
      <w:r>
        <w:rPr>
          <w:rFonts w:hint="eastAsia" w:ascii="仿宋_GB2312" w:hAnsi="仿宋_GB2312" w:eastAsia="仿宋_GB2312" w:cs="仿宋_GB2312"/>
          <w:sz w:val="32"/>
          <w:szCs w:val="32"/>
          <w:highlight w:val="none"/>
        </w:rPr>
        <w:t>数量、产出质量、产出时效和产出成本）项目效益四个维度对旅游业务成本支出项目进</w:t>
      </w:r>
      <w:r>
        <w:rPr>
          <w:rFonts w:hint="eastAsia" w:ascii="仿宋_GB2312" w:hAnsi="仿宋_GB2312" w:eastAsia="仿宋_GB2312" w:cs="仿宋_GB2312"/>
          <w:sz w:val="32"/>
          <w:szCs w:val="32"/>
        </w:rPr>
        <w:t>行评价，评价核心为专项资金的支出完成情况和效果。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pPr>
      <w:r>
        <w:rPr>
          <w:rFonts w:eastAsia="楷体_GB2312"/>
          <w:b/>
          <w:bCs/>
          <w:sz w:val="32"/>
          <w:szCs w:val="32"/>
        </w:rPr>
        <w:t>（二）绩效评价原则、评价指标体系（详情见表1）、评价方法、评价标准。</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1</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绩效评价原则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本次项目绩效评价遵循以下基本原则：</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（1）科学公正。绩效评价应当运用科学合理的方法，按照规范的程序，对项目绩效进行客观、公正的反映。</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（2）统筹兼顾。单位自评、部门评价和财政评价应职责明确，各有侧重，相互衔接。单位自评应由项目单位自主实施，即“谁支出、谁自评”。部门评价和财政评价应在单位自评的基础上开展。</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（3）激励约束。绩效评价结果应与预算安排、政策调整、改进管理实质性挂钩，体现奖优罚劣和激励相容导向，有效要安排、低效要压减、无效要问责。</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（4）公开透明。绩效评价结果应依法依规公开，并自觉接受社会监督。</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2、评价指标体系</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（1）确定评价指标</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采用层次分</w:t>
      </w:r>
      <w:r>
        <w:rPr>
          <w:rFonts w:eastAsia="仿宋_GB2312"/>
          <w:color w:val="000000"/>
          <w:spacing w:val="17"/>
          <w:sz w:val="32"/>
          <w:szCs w:val="32"/>
        </w:rPr>
        <w:t>析法，建立评价指标体系。绩效评价将指标分为项目决策指标、项目过程指标、项目产出指标、项目效益指标四个维度，最终形成一个由多个相互联系的指标组成的多层次指标体系。</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（2）确定权重</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确定各个指标相对于项目总体绩效的权重分值。在绩效评价指标体系中，项目决策权重为20分，项目过程权重为20分，项目产出权重为40分，项目效益权重为20分。</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（3）确定指标标准值</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keepNext w:val="0"/>
        <w:keepLines w:val="0"/>
        <w:pageBreakBefore w:val="0"/>
        <w:kinsoku/>
        <w:wordWrap/>
        <w:overflowPunct/>
        <w:topLinePunct w:val="0"/>
        <w:autoSpaceDE/>
        <w:autoSpaceDN/>
        <w:bidi w:val="0"/>
        <w:adjustRightInd/>
        <w:snapToGrid/>
        <w:spacing w:before="0" w:after="0" w:line="560" w:lineRule="exact"/>
        <w:ind w:firstLine="708" w:firstLineChars="200"/>
        <w:jc w:val="both"/>
        <w:textAlignment w:val="auto"/>
        <w:rPr>
          <w:rFonts w:hint="eastAsia" w:ascii="方正仿宋_GBK" w:hAnsi="方正仿宋_GBK" w:eastAsia="方正仿宋_GBK" w:cs="方正仿宋_GBK"/>
          <w:b w:val="0"/>
          <w:bCs w:val="0"/>
          <w:color w:val="000000"/>
          <w:spacing w:val="17"/>
          <w:kern w:val="2"/>
        </w:rPr>
      </w:pPr>
      <w:r>
        <w:rPr>
          <w:rFonts w:hint="eastAsia" w:ascii="方正仿宋_GBK" w:hAnsi="方正仿宋_GBK" w:eastAsia="方正仿宋_GBK" w:cs="方正仿宋_GBK"/>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708" w:firstLineChars="200"/>
        <w:jc w:val="both"/>
        <w:textAlignment w:val="auto"/>
        <w:outlineLvl w:val="9"/>
        <w:rPr>
          <w:rFonts w:hint="eastAsia" w:ascii="方正仿宋_GBK" w:hAnsi="方正仿宋_GBK" w:eastAsia="方正仿宋_GBK" w:cs="方正仿宋_GBK"/>
          <w:b w:val="0"/>
          <w:bCs w:val="0"/>
          <w:color w:val="000000"/>
          <w:spacing w:val="17"/>
        </w:rPr>
      </w:pPr>
      <w:r>
        <w:rPr>
          <w:rFonts w:hint="eastAsia" w:ascii="方正仿宋_GBK" w:hAnsi="方正仿宋_GBK" w:eastAsia="方正仿宋_GBK" w:cs="方正仿宋_GBK"/>
          <w:b w:val="0"/>
          <w:bCs w:val="0"/>
          <w:color w:val="000000"/>
          <w:spacing w:val="17"/>
        </w:rPr>
        <w:t>具体评价指标体系详情见附件1</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3、绩效评价方法</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（1）比较法</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通过对绩效目标与实施效果、历史与当期情况，综合分析绩效目标实现程度。对</w:t>
      </w:r>
      <w:r>
        <w:rPr>
          <w:rFonts w:hint="eastAsia" w:ascii="方正仿宋_GBK" w:hAnsi="方正仿宋_GBK" w:eastAsia="方正仿宋_GBK" w:cs="方正仿宋_GBK"/>
          <w:sz w:val="32"/>
          <w:szCs w:val="32"/>
        </w:rPr>
        <w:t>项目</w:t>
      </w:r>
      <w:r>
        <w:rPr>
          <w:rFonts w:hint="eastAsia" w:ascii="方正仿宋_GBK" w:hAnsi="方正仿宋_GBK" w:eastAsia="方正仿宋_GBK" w:cs="方正仿宋_GBK"/>
          <w:color w:val="000000"/>
          <w:spacing w:val="17"/>
          <w:sz w:val="32"/>
          <w:szCs w:val="32"/>
        </w:rPr>
        <w:t>最终验收情况与年度绩效目标对比、预算资金执行情况等相关因素进行比较。</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（2）因素分析法</w:t>
      </w:r>
    </w:p>
    <w:p>
      <w:pPr>
        <w:keepNext w:val="0"/>
        <w:keepLines w:val="0"/>
        <w:pageBreakBefore w:val="0"/>
        <w:kinsoku/>
        <w:wordWrap/>
        <w:overflowPunct/>
        <w:topLinePunct w:val="0"/>
        <w:autoSpaceDE/>
        <w:autoSpaceDN/>
        <w:bidi w:val="0"/>
        <w:adjustRightInd/>
        <w:snapToGrid/>
        <w:spacing w:line="560" w:lineRule="exact"/>
        <w:ind w:firstLine="708" w:firstLineChars="200"/>
        <w:textAlignment w:val="auto"/>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color w:val="000000"/>
          <w:spacing w:val="17"/>
          <w:sz w:val="32"/>
          <w:szCs w:val="32"/>
        </w:rPr>
        <w:t>通过综合分析影响绩效目标实现、实施效果的内外因素，评价绩效目标实现程度。通过对</w:t>
      </w:r>
      <w:r>
        <w:rPr>
          <w:rFonts w:hint="eastAsia" w:ascii="方正仿宋_GBK" w:hAnsi="方正仿宋_GBK" w:eastAsia="方正仿宋_GBK" w:cs="方正仿宋_GBK"/>
          <w:sz w:val="32"/>
          <w:szCs w:val="32"/>
        </w:rPr>
        <w:t>项目</w:t>
      </w:r>
      <w:r>
        <w:rPr>
          <w:rFonts w:hint="eastAsia" w:ascii="方正仿宋_GBK" w:hAnsi="方正仿宋_GBK" w:eastAsia="方正仿宋_GBK" w:cs="方正仿宋_GBK"/>
          <w:color w:val="000000"/>
          <w:spacing w:val="17"/>
          <w:sz w:val="32"/>
          <w:szCs w:val="32"/>
        </w:rPr>
        <w:t>的开展情况、项目产出数量、成本控制、资金拨付文件及自评报告等相关资料的收集和审核，综合分析各因素对绩效目标实现的影响。</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方正仿宋_GBK" w:hAnsi="方正仿宋_GBK" w:eastAsia="方正仿宋_GBK" w:cs="方正仿宋_GBK"/>
          <w:b w:val="0"/>
          <w:bCs w:val="0"/>
        </w:rPr>
      </w:pPr>
      <w:r>
        <w:rPr>
          <w:rFonts w:hint="eastAsia" w:ascii="方正仿宋_GBK" w:hAnsi="方正仿宋_GBK" w:eastAsia="方正仿宋_GBK" w:cs="方正仿宋_GBK"/>
          <w:b w:val="0"/>
          <w:bCs w:val="0"/>
        </w:rPr>
        <w:t>4、评价标准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绩效评价标准通常包括计划标准、行业标准、历史标准等，用于对绩效指标完成情况进行比较、分析、评价。本次评价主要采用了计划标准。</w:t>
      </w:r>
    </w:p>
    <w:p>
      <w:pPr>
        <w:pStyle w:val="2"/>
        <w:keepNext w:val="0"/>
        <w:keepLines w:val="0"/>
        <w:pageBreakBefore w:val="0"/>
        <w:numPr>
          <w:ilvl w:val="0"/>
          <w:numId w:val="1"/>
        </w:numPr>
        <w:kinsoku/>
        <w:wordWrap/>
        <w:overflowPunct/>
        <w:topLinePunct w:val="0"/>
        <w:autoSpaceDE/>
        <w:autoSpaceDN/>
        <w:bidi w:val="0"/>
        <w:adjustRightInd/>
        <w:snapToGrid/>
        <w:spacing w:before="0" w:after="0" w:line="560" w:lineRule="exact"/>
        <w:ind w:firstLine="710" w:firstLineChars="200"/>
        <w:jc w:val="both"/>
        <w:textAlignment w:val="auto"/>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1.前期准备。首先成立评价工作组，开展前期调研；其次明确项目绩效目标，设计绩效评价指标体系并确定绩效评价方法；接着确定现场和非现场评价范围，设计资料清单；最后制定评价实施方案并进行论证。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2.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eastAsia="仿宋_GB2312"/>
          <w:bCs/>
          <w:sz w:val="32"/>
          <w:szCs w:val="32"/>
        </w:rPr>
        <w:t>3.分析评价。根据收集梳理的资料围绕项目立项、资金落实、业务管理、财务管理、项目产出、项目效益等内容，对照已确定的绩效评价指标进行详细全面的分析评价，逐项打分并形成绩效评价最终结果。</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综合评价情况及评价结论（附相关评分表）</w:t>
      </w:r>
    </w:p>
    <w:p>
      <w:pPr>
        <w:pStyle w:val="2"/>
        <w:keepNext w:val="0"/>
        <w:keepLines w:val="0"/>
        <w:pageBreakBefore w:val="0"/>
        <w:kinsoku/>
        <w:wordWrap/>
        <w:overflowPunct/>
        <w:topLinePunct w:val="0"/>
        <w:autoSpaceDE/>
        <w:autoSpaceDN/>
        <w:bidi w:val="0"/>
        <w:adjustRightInd/>
        <w:snapToGrid/>
        <w:spacing w:before="0" w:after="0" w:line="560" w:lineRule="exact"/>
        <w:ind w:firstLine="642" w:firstLineChars="200"/>
        <w:jc w:val="both"/>
        <w:textAlignment w:val="auto"/>
        <w:rPr>
          <w:rFonts w:ascii="Times New Roman" w:hAnsi="Times New Roman" w:eastAsia="楷体_GB2312"/>
        </w:rPr>
      </w:pPr>
      <w:r>
        <w:rPr>
          <w:rFonts w:hint="eastAsia" w:ascii="Times New Roman" w:hAnsi="Times New Roman" w:eastAsia="楷体_GB2312"/>
        </w:rPr>
        <w:t>（一）评价情况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eastAsia="仿宋_GB2312"/>
          <w:kern w:val="28"/>
          <w:sz w:val="32"/>
          <w:szCs w:val="32"/>
        </w:rPr>
      </w:pPr>
      <w:r>
        <w:rPr>
          <w:rFonts w:hint="eastAsia" w:eastAsia="仿宋_GB2312"/>
          <w:kern w:val="28"/>
          <w:sz w:val="32"/>
          <w:szCs w:val="32"/>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kinsoku/>
        <w:wordWrap/>
        <w:overflowPunct/>
        <w:topLinePunct w:val="0"/>
        <w:autoSpaceDE/>
        <w:autoSpaceDN/>
        <w:bidi w:val="0"/>
        <w:adjustRightInd/>
        <w:snapToGrid/>
        <w:spacing w:before="0" w:after="0" w:line="560" w:lineRule="exact"/>
        <w:ind w:firstLine="642" w:firstLineChars="200"/>
        <w:jc w:val="both"/>
        <w:textAlignment w:val="auto"/>
        <w:rPr>
          <w:rFonts w:ascii="Times New Roman" w:hAnsi="Times New Roman" w:eastAsia="楷体_GB2312"/>
        </w:rPr>
      </w:pPr>
      <w:r>
        <w:rPr>
          <w:rFonts w:hint="eastAsia" w:ascii="Times New Roman" w:hAnsi="Times New Roman" w:eastAsia="楷体_GB2312"/>
        </w:rPr>
        <w:t>（二）评价结论</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Times New Roman" w:hAnsi="Times New Roman" w:eastAsia="仿宋_GB2312"/>
          <w:b w:val="0"/>
          <w:bCs w:val="0"/>
        </w:rPr>
        <w:t>运用绩效评价组制定的评价指标体系以及财政部《项目支出绩效评价管理办</w:t>
      </w:r>
      <w:r>
        <w:rPr>
          <w:rFonts w:hint="eastAsia" w:ascii="方正仿宋_GBK" w:hAnsi="方正仿宋_GBK" w:eastAsia="方正仿宋_GBK" w:cs="方正仿宋_GBK"/>
          <w:b w:val="0"/>
          <w:bCs w:val="0"/>
        </w:rPr>
        <w:t>法》（财预〔2020〕10号）文件的评分标准，</w:t>
      </w:r>
      <w:r>
        <w:rPr>
          <w:rFonts w:hint="eastAsia" w:ascii="方正仿宋_GBK" w:hAnsi="方正仿宋_GBK" w:eastAsia="方正仿宋_GBK" w:cs="方正仿宋_GBK"/>
          <w:b w:val="0"/>
          <w:bCs w:val="0"/>
          <w:highlight w:val="none"/>
        </w:rPr>
        <w:t>通过数据采集等方式，对本项目进行客观评价，最终评分结果：总得分为84.4分，属于“良”。其中，项目决策类指标权重为20分，得分为20分，得分率为100%。项目过程类指标权重为20分，得分为18分，得分率为90%。项目产出类指标权重为40分，得分为26.4分，得分率为</w:t>
      </w:r>
      <w:bookmarkStart w:id="3" w:name="_GoBack"/>
      <w:bookmarkEnd w:id="3"/>
      <w:r>
        <w:rPr>
          <w:rFonts w:hint="eastAsia" w:ascii="方正仿宋_GBK" w:hAnsi="方正仿宋_GBK" w:eastAsia="方正仿宋_GBK" w:cs="方正仿宋_GBK"/>
          <w:b w:val="0"/>
          <w:bCs w:val="0"/>
          <w:highlight w:val="none"/>
        </w:rPr>
        <w:t>66%。项目效益类指标权重为20分，得分为20分，得分率为100%。</w:t>
      </w:r>
      <w:r>
        <w:rPr>
          <w:rFonts w:hint="eastAsia" w:ascii="Times New Roman" w:hAnsi="Times New Roman" w:eastAsia="仿宋_GB2312"/>
          <w:b w:val="0"/>
          <w:bCs w:val="0"/>
        </w:rPr>
        <w:t>具体打分情况详见：附件</w:t>
      </w:r>
      <w:r>
        <w:rPr>
          <w:rFonts w:hint="eastAsia" w:ascii="方正仿宋_GBK" w:hAnsi="方正仿宋_GBK" w:eastAsia="方正仿宋_GBK" w:cs="方正仿宋_GBK"/>
          <w:b w:val="0"/>
          <w:bCs w:val="0"/>
        </w:rPr>
        <w:t>1综</w:t>
      </w:r>
      <w:r>
        <w:rPr>
          <w:rFonts w:hint="eastAsia" w:ascii="Times New Roman" w:hAnsi="Times New Roman" w:eastAsia="仿宋_GB2312"/>
          <w:b w:val="0"/>
          <w:bCs w:val="0"/>
        </w:rPr>
        <w:t>合评分表。</w:t>
      </w:r>
    </w:p>
    <w:p>
      <w:pPr>
        <w:pStyle w:val="2"/>
        <w:spacing w:before="0" w:after="0"/>
        <w:rPr>
          <w:rFonts w:hint="eastAsia" w:ascii="方正小标宋_GBK" w:hAnsi="方正小标宋_GBK" w:eastAsia="方正小标宋_GBK" w:cs="方正小标宋_GBK"/>
          <w:b w:val="0"/>
          <w:bCs w:val="0"/>
          <w:sz w:val="30"/>
          <w:szCs w:val="30"/>
        </w:rPr>
      </w:pPr>
      <w:r>
        <w:rPr>
          <w:rFonts w:hint="eastAsia" w:ascii="方正小标宋_GBK" w:hAnsi="方正小标宋_GBK" w:eastAsia="方正小标宋_GBK" w:cs="方正小标宋_GBK"/>
          <w:b w:val="0"/>
          <w:bCs w:val="0"/>
          <w:sz w:val="30"/>
          <w:szCs w:val="30"/>
        </w:rPr>
        <w:t>表1综合评分表</w:t>
      </w:r>
    </w:p>
    <w:tbl>
      <w:tblPr>
        <w:tblStyle w:val="13"/>
        <w:tblW w:w="8616" w:type="dxa"/>
        <w:jc w:val="center"/>
        <w:tblLayout w:type="fixed"/>
        <w:tblCellMar>
          <w:top w:w="0" w:type="dxa"/>
          <w:left w:w="108" w:type="dxa"/>
          <w:bottom w:w="0" w:type="dxa"/>
          <w:right w:w="108" w:type="dxa"/>
        </w:tblCellMar>
      </w:tblPr>
      <w:tblGrid>
        <w:gridCol w:w="3763"/>
        <w:gridCol w:w="2168"/>
        <w:gridCol w:w="2685"/>
      </w:tblGrid>
      <w:tr>
        <w:tblPrEx>
          <w:tblCellMar>
            <w:top w:w="0" w:type="dxa"/>
            <w:left w:w="108" w:type="dxa"/>
            <w:bottom w:w="0" w:type="dxa"/>
            <w:right w:w="108" w:type="dxa"/>
          </w:tblCellMar>
        </w:tblPrEx>
        <w:trPr>
          <w:trHeight w:val="90" w:hRule="atLeast"/>
          <w:tblHeader/>
          <w:jc w:val="center"/>
        </w:trPr>
        <w:tc>
          <w:tcPr>
            <w:tcW w:w="3763"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685"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76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685"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76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685"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18</w:t>
            </w:r>
          </w:p>
        </w:tc>
      </w:tr>
      <w:tr>
        <w:tblPrEx>
          <w:tblCellMar>
            <w:top w:w="0" w:type="dxa"/>
            <w:left w:w="108" w:type="dxa"/>
            <w:bottom w:w="0" w:type="dxa"/>
            <w:right w:w="108" w:type="dxa"/>
          </w:tblCellMar>
        </w:tblPrEx>
        <w:trPr>
          <w:trHeight w:val="340" w:hRule="atLeast"/>
          <w:jc w:val="center"/>
        </w:trPr>
        <w:tc>
          <w:tcPr>
            <w:tcW w:w="376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40</w:t>
            </w:r>
          </w:p>
        </w:tc>
        <w:tc>
          <w:tcPr>
            <w:tcW w:w="2685"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26.4</w:t>
            </w:r>
          </w:p>
        </w:tc>
      </w:tr>
      <w:tr>
        <w:tblPrEx>
          <w:tblCellMar>
            <w:top w:w="0" w:type="dxa"/>
            <w:left w:w="108" w:type="dxa"/>
            <w:bottom w:w="0" w:type="dxa"/>
            <w:right w:w="108" w:type="dxa"/>
          </w:tblCellMar>
        </w:tblPrEx>
        <w:trPr>
          <w:trHeight w:val="340" w:hRule="atLeast"/>
          <w:jc w:val="center"/>
        </w:trPr>
        <w:tc>
          <w:tcPr>
            <w:tcW w:w="376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685"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76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b/>
                <w:bCs/>
                <w:color w:val="000000"/>
                <w:sz w:val="22"/>
              </w:rPr>
            </w:pPr>
            <w:r>
              <w:rPr>
                <w:rFonts w:hint="eastAsia"/>
                <w:b/>
                <w:bCs/>
                <w:color w:val="000000"/>
                <w:sz w:val="22"/>
              </w:rPr>
              <w:t>100</w:t>
            </w:r>
          </w:p>
        </w:tc>
        <w:tc>
          <w:tcPr>
            <w:tcW w:w="2685" w:type="dxa"/>
            <w:tcBorders>
              <w:top w:val="nil"/>
              <w:left w:val="nil"/>
              <w:bottom w:val="single" w:color="auto" w:sz="4" w:space="0"/>
              <w:right w:val="single" w:color="auto" w:sz="4" w:space="0"/>
            </w:tcBorders>
            <w:shd w:val="clear" w:color="auto" w:fill="auto"/>
            <w:vAlign w:val="center"/>
          </w:tcPr>
          <w:p>
            <w:pPr>
              <w:jc w:val="center"/>
              <w:rPr>
                <w:b/>
                <w:bCs/>
                <w:color w:val="000000"/>
                <w:sz w:val="22"/>
              </w:rPr>
            </w:pPr>
            <w:r>
              <w:rPr>
                <w:rFonts w:hint="eastAsia"/>
                <w:b/>
                <w:bCs/>
                <w:color w:val="000000"/>
                <w:sz w:val="22"/>
              </w:rPr>
              <w:t>84.4</w:t>
            </w:r>
          </w:p>
        </w:tc>
      </w:tr>
    </w:tbl>
    <w:p>
      <w:pPr>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四、绩效评价指标分析</w:t>
      </w:r>
    </w:p>
    <w:p>
      <w:pPr>
        <w:pStyle w:val="2"/>
        <w:pageBreakBefore w:val="0"/>
        <w:kinsoku/>
        <w:wordWrap/>
        <w:overflowPunct/>
        <w:topLinePunct w:val="0"/>
        <w:autoSpaceDE/>
        <w:autoSpaceDN/>
        <w:bidi w:val="0"/>
        <w:adjustRightInd/>
        <w:snapToGrid/>
        <w:spacing w:before="0" w:after="0" w:line="560" w:lineRule="exact"/>
        <w:ind w:firstLine="642" w:firstLineChars="200"/>
        <w:jc w:val="both"/>
        <w:textAlignment w:val="auto"/>
        <w:rPr>
          <w:rFonts w:ascii="Times New Roman" w:hAnsi="Times New Roman" w:eastAsia="楷体_GB2312"/>
        </w:rPr>
      </w:pPr>
      <w:r>
        <w:rPr>
          <w:rFonts w:ascii="Times New Roman" w:hAnsi="Times New Roman" w:eastAsia="楷体_GB2312"/>
        </w:rPr>
        <w:t>（一）项目决策情况</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项目决策类包括项目立项、绩效目标和资金投入三方面的内容，权重分值为20分，实际得分20分，得分率为100%。</w:t>
      </w:r>
    </w:p>
    <w:p>
      <w:pPr>
        <w:pStyle w:val="18"/>
        <w:pageBreakBefore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1.项目立项</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（1）立项依据充分性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（2）立项程序规范性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设立过程符合相关要求，严格按照审批流程准备符合要求的文件、材料；根据决算依据编制工作计划和经费预算，经过与部门项目分管领导沟通、筛选确定经费预算计划，确定最终预算方案。项目的审批文件、材料符合相关要求，项目事前经过必要的可行性研究、风险评估、绩效评估、集体决策，保障了程序的规范性。</w:t>
      </w:r>
    </w:p>
    <w:p>
      <w:pPr>
        <w:pStyle w:val="18"/>
        <w:pageBreakBefore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2.绩效目标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（1）绩效目标合理性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年初结合实际工作内容设定绩效目标，绩效目标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（2）绩效指标明确性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项目设置了明确的预期产出效益和效果，将绩效目标细化分解为具体的绩效指标，绩效目标与项目目标任务数相对应，绩效目标设定的绩效指标清晰、细化、可衡量。</w:t>
      </w:r>
    </w:p>
    <w:p>
      <w:pPr>
        <w:pStyle w:val="18"/>
        <w:pageBreakBefore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3.资金投入</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（1）预算编制科学性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预算编制经过科学论证，提供充分的测算依据佐证资料，预算内容与项目内容相匹配。项目投资额与工作任务相匹配。</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（2）资金分配合理性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资金分配额度与项目单位实际工作内容相适应，资金分配额度合理，资金分配依据充分。</w:t>
      </w:r>
    </w:p>
    <w:p>
      <w:pPr>
        <w:pStyle w:val="2"/>
        <w:pageBreakBefore w:val="0"/>
        <w:numPr>
          <w:ilvl w:val="0"/>
          <w:numId w:val="3"/>
        </w:numPr>
        <w:kinsoku/>
        <w:wordWrap/>
        <w:overflowPunct/>
        <w:topLinePunct w:val="0"/>
        <w:autoSpaceDE/>
        <w:autoSpaceDN/>
        <w:bidi w:val="0"/>
        <w:adjustRightInd/>
        <w:snapToGrid/>
        <w:spacing w:before="0" w:after="0" w:line="560" w:lineRule="exact"/>
        <w:ind w:firstLine="642" w:firstLineChars="200"/>
        <w:jc w:val="both"/>
        <w:textAlignment w:val="auto"/>
        <w:rPr>
          <w:rFonts w:ascii="楷体" w:hAnsi="楷体" w:eastAsia="楷体" w:cs="楷体"/>
        </w:rPr>
      </w:pPr>
      <w:r>
        <w:rPr>
          <w:rFonts w:hint="eastAsia" w:ascii="楷体" w:hAnsi="楷体" w:eastAsia="楷体" w:cs="楷体"/>
        </w:rPr>
        <w:t>项目过程情况</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项目过程类指标包括资金管理和组织实施两方面的内容，权重分值为20分，</w:t>
      </w:r>
      <w:r>
        <w:rPr>
          <w:rFonts w:hint="eastAsia" w:ascii="仿宋_GB2312" w:hAnsi="仿宋_GB2312" w:eastAsia="仿宋_GB2312" w:cs="仿宋_GB2312"/>
          <w:sz w:val="32"/>
          <w:szCs w:val="32"/>
          <w:highlight w:val="none"/>
        </w:rPr>
        <w:t>实际得分18分，得分率为90%。</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1.资金管理</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（1）资金到位率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本项</w:t>
      </w:r>
      <w:r>
        <w:rPr>
          <w:rFonts w:hint="eastAsia" w:ascii="仿宋_GB2312" w:hAnsi="仿宋_GB2312" w:eastAsia="仿宋_GB2312" w:cs="仿宋_GB2312"/>
          <w:sz w:val="32"/>
          <w:szCs w:val="32"/>
          <w:highlight w:val="none"/>
        </w:rPr>
        <w:t>目总投资170万元，财政资金及时足额到位，到位率100%，预算</w:t>
      </w:r>
      <w:r>
        <w:rPr>
          <w:rFonts w:hint="eastAsia" w:ascii="仿宋_GB2312" w:hAnsi="仿宋_GB2312" w:eastAsia="仿宋_GB2312" w:cs="仿宋_GB2312"/>
          <w:sz w:val="32"/>
          <w:szCs w:val="32"/>
        </w:rPr>
        <w:t>资金按计划进度执行。</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（2）预算执行率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预算编制较为详细，项目资金支出总体能够按照预算执行，预算资金支出170万元，预算执行率为63.95%。</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（3）资金使用合规性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2.组织实施</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（1）管理制度健全性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（2）制度执行有效性</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对资金使用的合法合规性进行监督，年末对资金使用效果进行评价。项目管理、实施人员落实到位，有效按照计划执行。项目执行情况等资料齐全，项目相关手续完备，及时进行归档。</w:t>
      </w:r>
    </w:p>
    <w:p>
      <w:pPr>
        <w:pStyle w:val="11"/>
        <w:pageBreakBefore w:val="0"/>
        <w:numPr>
          <w:ilvl w:val="0"/>
          <w:numId w:val="3"/>
        </w:numPr>
        <w:kinsoku/>
        <w:wordWrap/>
        <w:overflowPunct/>
        <w:topLinePunct w:val="0"/>
        <w:autoSpaceDE/>
        <w:autoSpaceDN/>
        <w:bidi w:val="0"/>
        <w:adjustRightInd/>
        <w:snapToGrid/>
        <w:spacing w:line="560" w:lineRule="exact"/>
        <w:ind w:firstLine="641"/>
        <w:textAlignment w:val="auto"/>
        <w:rPr>
          <w:rFonts w:eastAsia="楷体_GB2312"/>
          <w:b/>
          <w:bCs/>
          <w:sz w:val="32"/>
          <w:szCs w:val="32"/>
        </w:rPr>
      </w:pPr>
      <w:r>
        <w:rPr>
          <w:rFonts w:eastAsia="楷体_GB2312"/>
          <w:b/>
          <w:bCs/>
          <w:sz w:val="32"/>
          <w:szCs w:val="32"/>
        </w:rPr>
        <w:t>项目产出</w:t>
      </w:r>
      <w:r>
        <w:rPr>
          <w:rFonts w:hint="eastAsia" w:eastAsia="楷体_GB2312"/>
          <w:b/>
          <w:bCs/>
          <w:sz w:val="32"/>
          <w:szCs w:val="32"/>
        </w:rPr>
        <w:t>情况</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项目产出类指标包括产出数量、产出质量、产出时效、产</w:t>
      </w:r>
      <w:r>
        <w:rPr>
          <w:rFonts w:hint="eastAsia" w:ascii="仿宋_GB2312" w:hAnsi="仿宋_GB2312" w:eastAsia="仿宋_GB2312" w:cs="仿宋_GB2312"/>
          <w:sz w:val="32"/>
          <w:szCs w:val="32"/>
          <w:highlight w:val="none"/>
        </w:rPr>
        <w:t>出成本四方面的内容，由12个三级指标构成，权重分为40分，实际得分26.4分，得分率为66%。</w:t>
      </w:r>
      <w:r>
        <w:rPr>
          <w:rFonts w:hint="eastAsia" w:ascii="仿宋_GB2312" w:hAnsi="仿宋_GB2312" w:eastAsia="仿宋_GB2312" w:cs="仿宋_GB2312"/>
          <w:sz w:val="32"/>
          <w:szCs w:val="32"/>
        </w:rPr>
        <w:t>具体产出指标完成情况如下：</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数量指标：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指标1：培训人数（人），指标值：≥350人，实际完成值：0人 ，指标完成率0%，偏差原因：因疫情原因及业务处室意见，原计划举办的“自治区全域旅游培训班、自治区文旅系统办公室主任培训班、自治区文旅系统安全生产培训班（北疆片区）”3期培训班未能举办，已向厅人事处报备，并获得同意，因此该指标未完成。</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培训天数（天），指标值：≥15天，实际完成值：0天，指标完成率0%，偏差原因：因疫情原因及业务处室意见，原计划举办的“自治区全域旅游培训班、自治区文旅系统办公室主任培训班、自治区文旅系统安全生产培训班（北疆片区）”3期培训班未能举办，已向厅人事处报备，并获得同意，因此该指标未完成。</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指标3：培训班次（班次），指标值：≥3个，实际完成值：0个，指标完成率0%，偏差原因：因疫情原因及业务处室意见，原计划举办的“自治区全域旅游培训班、自治区文旅系统办公室主任培训班、自治区文旅系统安全生产培训班（北疆片区）”3期培训班未能举办，已向厅人事处报备，并获得同意，因此该指标未完成。</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指标4：发放工资人数 ，指标值：≥7人，实际完成值：8人，指标完成率100%。 </w:t>
      </w:r>
    </w:p>
    <w:p>
      <w:pPr>
        <w:pageBreakBefore w:val="0"/>
        <w:kinsoku/>
        <w:wordWrap/>
        <w:overflowPunct/>
        <w:topLinePunct w:val="0"/>
        <w:autoSpaceDE/>
        <w:autoSpaceDN/>
        <w:bidi w:val="0"/>
        <w:adjustRightInd/>
        <w:snapToGrid/>
        <w:spacing w:line="560" w:lineRule="exact"/>
        <w:ind w:firstLine="640" w:firstLineChars="200"/>
        <w:textAlignment w:val="auto"/>
        <w:outlineLvl w:val="0"/>
      </w:pPr>
      <w:r>
        <w:rPr>
          <w:rFonts w:hint="eastAsia" w:ascii="仿宋_GB2312" w:hAnsi="仿宋_GB2312" w:eastAsia="仿宋_GB2312" w:cs="仿宋_GB2312"/>
          <w:sz w:val="32"/>
          <w:szCs w:val="32"/>
        </w:rPr>
        <w:t>指标5：工资发放次数 ，指标值：≥12次，实际完成值：12次，指标完成率100%。</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质量指标：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指标1：培训合格率（%），指标值：≥95%，实际完成值：≥95%，指标完成率100%。</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指标2：培训出勤率（%），指标值：≥95%，实际完成值：≥95%，指标完成率100%。</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时效指标：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指标1：培训按期完成率，指标值：≥90% ，实际完成值：0，指标完成率0%，偏差原因：因疫情原因及业务处室意见，原计划举办的“自治区全域旅游培训班、自治区文旅系统办公室主任培训班、自治区文旅系统安全生产培训班（北疆片区）”3期培训班未能举办，已向厅人事处报备，并获得同意，因此该指标未完成。</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指标2：资金发放及时率，指标值：≥95% ，实际完成值：66.67%，指标完成率70.18%，偏差原因：因疫情影响，全员在家静默，无法及时划款，因此8-11月工资均延迟发放。</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成本指标：</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指标1：培训人均支出标准，指标值：≤200元/人.天，实际完成值：200元/人.天，指标完成率100%。</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指标2：每次发放工资资金数，指标值：≤5万 ，实际完成值：4.92万 ，指标完成率98.4%。</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指标3：劳务支出，指标值：≤30万，实际完成值：54.1万，指标完成率0%，偏差原因：指标值设置不准确，未考虑人员增加的问题。</w:t>
      </w:r>
    </w:p>
    <w:p>
      <w:pPr>
        <w:pStyle w:val="11"/>
        <w:pageBreakBefore w:val="0"/>
        <w:numPr>
          <w:ilvl w:val="0"/>
          <w:numId w:val="3"/>
        </w:numPr>
        <w:kinsoku/>
        <w:wordWrap/>
        <w:overflowPunct/>
        <w:topLinePunct w:val="0"/>
        <w:autoSpaceDE/>
        <w:autoSpaceDN/>
        <w:bidi w:val="0"/>
        <w:adjustRightInd/>
        <w:snapToGrid/>
        <w:spacing w:line="560" w:lineRule="exact"/>
        <w:ind w:firstLine="641"/>
        <w:textAlignment w:val="auto"/>
        <w:rPr>
          <w:rFonts w:eastAsia="楷体_GB2312"/>
          <w:b/>
          <w:bCs/>
          <w:sz w:val="32"/>
          <w:szCs w:val="32"/>
        </w:rPr>
      </w:pPr>
      <w:r>
        <w:rPr>
          <w:rFonts w:hint="eastAsia" w:eastAsia="楷体_GB2312"/>
          <w:b/>
          <w:bCs/>
          <w:sz w:val="32"/>
          <w:szCs w:val="32"/>
        </w:rPr>
        <w:t>项目效益情况</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项目效益类指标包括项目实施效益和满意度两方面的内容，由2个三级指标构成，权重分为20分，</w:t>
      </w:r>
      <w:r>
        <w:rPr>
          <w:rFonts w:hint="eastAsia" w:ascii="仿宋_GB2312" w:hAnsi="仿宋_GB2312" w:eastAsia="仿宋_GB2312" w:cs="仿宋_GB2312"/>
          <w:sz w:val="32"/>
          <w:szCs w:val="32"/>
          <w:highlight w:val="none"/>
        </w:rPr>
        <w:t>实际得分20分，得分率为100%。具体效益指标及满意度指标完</w:t>
      </w:r>
      <w:r>
        <w:rPr>
          <w:rFonts w:hint="eastAsia" w:ascii="仿宋_GB2312" w:hAnsi="仿宋_GB2312" w:eastAsia="仿宋_GB2312" w:cs="仿宋_GB2312"/>
          <w:sz w:val="32"/>
          <w:szCs w:val="32"/>
        </w:rPr>
        <w:t>成情况如下：</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1.实施效益</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①社会效益指标：城市形象提升，指标值：有效提升，实际完成值：有效提升，指标完成率100%。</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2.满意度</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满意度指标：受益人员满意度，指标值：≥95%，实际完成值：≥95% ，指标完成率100%。</w:t>
      </w:r>
    </w:p>
    <w:p>
      <w:pPr>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rPr>
        <w:t>五、预算执行进度与绩效指标总体完成率偏差</w:t>
      </w:r>
    </w:p>
    <w:p>
      <w:pPr>
        <w:pStyle w:val="18"/>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旅游业务成本支出项目年初预算170万元，全年预算170万元，实际支出108.72万元，预算执行率为63.95%，项目绩效指标总体完成率为59.12%，总体偏差率为4.83%,偏差原因</w:t>
      </w:r>
      <w:r>
        <w:rPr>
          <w:rFonts w:hint="eastAsia" w:ascii="仿宋_GB2312" w:eastAsia="仿宋_GB2312"/>
          <w:sz w:val="32"/>
          <w:szCs w:val="32"/>
        </w:rPr>
        <w:t>因疫情原因，原定的培训班次做了调整变更，在征求业务处室意见后，原计划在2022年下半年举办的“自治区全域旅游培训班、自治区文旅系统办公室主任培训班、自治区文旅系统安全生产培训班（北疆片区）”3期培训班已不具备举办的条件，并向厅人事处报备且同意将以上培训班做调整，因此该项指标未达到期初预期目标。原计划的项目资金用于支付上年度培训项目尾款。</w:t>
      </w:r>
      <w:r>
        <w:rPr>
          <w:rFonts w:hint="eastAsia" w:ascii="仿宋_GB2312" w:hAnsi="仿宋_GB2312" w:eastAsia="仿宋_GB2312" w:cs="仿宋_GB2312"/>
          <w:kern w:val="2"/>
          <w:sz w:val="32"/>
          <w:szCs w:val="32"/>
        </w:rPr>
        <w:t>改进措施</w:t>
      </w:r>
      <w:r>
        <w:rPr>
          <w:rFonts w:hint="eastAsia" w:ascii="仿宋_GB2312" w:eastAsia="仿宋_GB2312"/>
          <w:sz w:val="32"/>
          <w:szCs w:val="32"/>
        </w:rPr>
        <w:t>以后年度编制预算时，科学、精准、全面编制预算，更加科学严谨的设定绩效目标考核指标，且在执行过程中要抓紧落实，抓好提前量，在预定时间完成目标。</w:t>
      </w:r>
    </w:p>
    <w:p>
      <w:pPr>
        <w:pageBreakBefore w:val="0"/>
        <w:kinsoku/>
        <w:wordWrap/>
        <w:overflowPunct/>
        <w:topLinePunct w:val="0"/>
        <w:autoSpaceDE/>
        <w:autoSpaceDN/>
        <w:bidi w:val="0"/>
        <w:adjustRightInd/>
        <w:snapToGrid/>
        <w:spacing w:line="560" w:lineRule="exact"/>
        <w:ind w:firstLine="640" w:firstLineChars="200"/>
        <w:textAlignment w:val="auto"/>
        <w:rPr>
          <w:rStyle w:val="17"/>
          <w:rFonts w:ascii="Times New Roman" w:hAnsi="Times New Roman" w:cs="Times New Roman"/>
          <w:color w:val="auto"/>
        </w:rPr>
      </w:pPr>
      <w:r>
        <w:rPr>
          <w:rFonts w:hint="eastAsia" w:eastAsia="黑体"/>
          <w:sz w:val="32"/>
          <w:szCs w:val="32"/>
        </w:rPr>
        <w:t>六</w:t>
      </w:r>
      <w:r>
        <w:rPr>
          <w:rFonts w:eastAsia="黑体"/>
          <w:sz w:val="32"/>
          <w:szCs w:val="32"/>
        </w:rPr>
        <w:t>、主要经验及做法、存在的问题及原因分析</w:t>
      </w:r>
    </w:p>
    <w:p>
      <w:pPr>
        <w:pageBreakBefore w:val="0"/>
        <w:kinsoku/>
        <w:wordWrap/>
        <w:overflowPunct/>
        <w:topLinePunct w:val="0"/>
        <w:autoSpaceDE/>
        <w:autoSpaceDN/>
        <w:bidi w:val="0"/>
        <w:adjustRightInd/>
        <w:snapToGrid/>
        <w:spacing w:line="560" w:lineRule="exact"/>
        <w:ind w:firstLine="626" w:firstLineChars="200"/>
        <w:textAlignment w:val="auto"/>
        <w:rPr>
          <w:rFonts w:eastAsia="楷体"/>
          <w:b/>
          <w:spacing w:val="-4"/>
          <w:sz w:val="32"/>
          <w:szCs w:val="32"/>
        </w:rPr>
      </w:pPr>
      <w:r>
        <w:rPr>
          <w:rFonts w:eastAsia="楷体"/>
          <w:b/>
          <w:spacing w:val="-4"/>
          <w:sz w:val="32"/>
          <w:szCs w:val="32"/>
        </w:rPr>
        <w:t>（一）主要经验及做法</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pageBreakBefore w:val="0"/>
        <w:kinsoku/>
        <w:wordWrap/>
        <w:overflowPunct/>
        <w:topLinePunct w:val="0"/>
        <w:autoSpaceDE/>
        <w:autoSpaceDN/>
        <w:bidi w:val="0"/>
        <w:adjustRightInd/>
        <w:snapToGrid/>
        <w:spacing w:before="0" w:after="0" w:line="560" w:lineRule="exact"/>
        <w:ind w:firstLine="640" w:firstLineChars="200"/>
        <w:jc w:val="left"/>
        <w:textAlignment w:val="auto"/>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专项资金事前、事中和事后全过程监管。在监督环节上，实行关口前移，从事后监督管理转向事前审核，事中监督和事后检查稽核相结合的监督制度上来，形成多环节全过程的监督管理格局，尽量早发现问题，早解决问题。</w:t>
      </w:r>
    </w:p>
    <w:p>
      <w:pPr>
        <w:keepNext/>
        <w:keepLines/>
        <w:pageBreakBefore w:val="0"/>
        <w:numPr>
          <w:ilvl w:val="0"/>
          <w:numId w:val="4"/>
        </w:numPr>
        <w:kinsoku/>
        <w:wordWrap/>
        <w:overflowPunct/>
        <w:topLinePunct w:val="0"/>
        <w:autoSpaceDE/>
        <w:autoSpaceDN/>
        <w:bidi w:val="0"/>
        <w:adjustRightInd/>
        <w:snapToGrid/>
        <w:spacing w:line="560" w:lineRule="exact"/>
        <w:ind w:firstLine="642" w:firstLineChars="200"/>
        <w:textAlignment w:val="auto"/>
        <w:outlineLvl w:val="0"/>
        <w:rPr>
          <w:rFonts w:ascii="仿宋_GB2312" w:hAnsi="仿宋_GB2312" w:eastAsia="仿宋_GB2312" w:cs="仿宋_GB2312"/>
          <w:sz w:val="32"/>
          <w:szCs w:val="32"/>
        </w:rPr>
      </w:pPr>
      <w:r>
        <w:rPr>
          <w:rFonts w:eastAsia="楷体_GB2312"/>
          <w:b/>
          <w:bCs/>
          <w:sz w:val="32"/>
          <w:szCs w:val="32"/>
        </w:rPr>
        <w:t>存在的问题及原因分析</w:t>
      </w:r>
    </w:p>
    <w:p>
      <w:pPr>
        <w:keepNext/>
        <w:keepLines/>
        <w:pageBreakBefore w:val="0"/>
        <w:numPr>
          <w:ilvl w:val="0"/>
          <w:numId w:val="4"/>
        </w:numPr>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rPr>
        <w:t>七、</w:t>
      </w:r>
      <w:r>
        <w:rPr>
          <w:rFonts w:eastAsia="黑体"/>
          <w:sz w:val="32"/>
          <w:szCs w:val="32"/>
        </w:rPr>
        <w:t>有关建议</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1.多进行有关绩效管理工作方面的培训。积极组织第三方开展绩效管理工作培训，进一步夯实业务基础，提高我单位绩效人员水平。</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2.专门设定对绩效工作人员定职、定岗、定责等相关制度措施，进一步提升我单位绩效管理工作业务水平，扎实做好绩效管理工作。</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pageBreakBefore w:val="0"/>
        <w:kinsoku/>
        <w:wordWrap/>
        <w:overflowPunct/>
        <w:topLinePunct w:val="0"/>
        <w:autoSpaceDE/>
        <w:autoSpaceDN/>
        <w:bidi w:val="0"/>
        <w:adjustRightInd/>
        <w:snapToGrid/>
        <w:spacing w:line="560" w:lineRule="exact"/>
        <w:ind w:firstLine="640" w:firstLineChars="200"/>
        <w:textAlignment w:val="auto"/>
        <w:outlineLvl w:val="0"/>
        <w:rPr>
          <w:sz w:val="22"/>
          <w:szCs w:val="28"/>
        </w:rPr>
      </w:pPr>
      <w:r>
        <w:rPr>
          <w:rFonts w:hint="eastAsia" w:ascii="仿宋_GB2312" w:hAnsi="仿宋_GB2312" w:eastAsia="仿宋_GB2312" w:cs="仿宋_GB2312"/>
          <w:sz w:val="32"/>
          <w:szCs w:val="32"/>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rPr>
        <w:t>八、</w:t>
      </w:r>
      <w:r>
        <w:rPr>
          <w:rFonts w:eastAsia="黑体"/>
          <w:sz w:val="32"/>
          <w:szCs w:val="32"/>
        </w:rPr>
        <w:t>其他需要说</w:t>
      </w:r>
      <w:bookmarkStart w:id="0" w:name="page8"/>
      <w:bookmarkEnd w:id="0"/>
      <w:r>
        <w:rPr>
          <w:rFonts w:eastAsia="黑体"/>
          <w:sz w:val="32"/>
          <w:szCs w:val="32"/>
        </w:rPr>
        <w:t>明的问题</w:t>
      </w:r>
    </w:p>
    <w:p>
      <w:pPr>
        <w:pStyle w:val="12"/>
        <w:pageBreakBefore w:val="0"/>
        <w:kinsoku/>
        <w:wordWrap/>
        <w:overflowPunct/>
        <w:topLinePunct w:val="0"/>
        <w:autoSpaceDE/>
        <w:autoSpaceDN/>
        <w:bidi w:val="0"/>
        <w:adjustRightInd/>
        <w:snapToGrid/>
        <w:spacing w:after="0" w:line="560" w:lineRule="exact"/>
        <w:ind w:left="0" w:leftChars="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本项目无其他需说明的问题。</w:t>
      </w:r>
    </w:p>
    <w:tbl>
      <w:tblPr>
        <w:tblStyle w:val="13"/>
        <w:tblW w:w="8834" w:type="dxa"/>
        <w:jc w:val="center"/>
        <w:tblLayout w:type="autofit"/>
        <w:tblCellMar>
          <w:top w:w="0" w:type="dxa"/>
          <w:left w:w="0" w:type="dxa"/>
          <w:bottom w:w="0" w:type="dxa"/>
          <w:right w:w="0" w:type="dxa"/>
        </w:tblCellMar>
      </w:tblPr>
      <w:tblGrid>
        <w:gridCol w:w="798"/>
        <w:gridCol w:w="984"/>
        <w:gridCol w:w="1196"/>
        <w:gridCol w:w="1276"/>
        <w:gridCol w:w="1276"/>
        <w:gridCol w:w="1559"/>
        <w:gridCol w:w="1745"/>
      </w:tblGrid>
      <w:tr>
        <w:tblPrEx>
          <w:tblCellMar>
            <w:top w:w="0" w:type="dxa"/>
            <w:left w:w="0" w:type="dxa"/>
            <w:bottom w:w="0" w:type="dxa"/>
            <w:right w:w="0" w:type="dxa"/>
          </w:tblCellMar>
        </w:tblPrEx>
        <w:trPr>
          <w:trHeight w:val="420" w:hRule="atLeast"/>
          <w:jc w:val="center"/>
        </w:trPr>
        <w:tc>
          <w:tcPr>
            <w:tcW w:w="8834"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eastAsia="方正小标宋简体"/>
                <w:b/>
                <w:sz w:val="32"/>
                <w:szCs w:val="32"/>
                <w:u w:val="single"/>
              </w:rPr>
            </w:pPr>
            <w:r>
              <w:rPr>
                <w:rFonts w:eastAsia="方正小标宋简体"/>
                <w:b/>
                <w:kern w:val="0"/>
                <w:sz w:val="32"/>
                <w:szCs w:val="32"/>
              </w:rPr>
              <w:t>项目支出绩效自评表</w:t>
            </w:r>
          </w:p>
        </w:tc>
      </w:tr>
      <w:tr>
        <w:tblPrEx>
          <w:tblCellMar>
            <w:top w:w="0" w:type="dxa"/>
            <w:left w:w="0" w:type="dxa"/>
            <w:bottom w:w="0" w:type="dxa"/>
            <w:right w:w="0" w:type="dxa"/>
          </w:tblCellMar>
        </w:tblPrEx>
        <w:trPr>
          <w:trHeight w:val="288" w:hRule="atLeast"/>
          <w:jc w:val="center"/>
        </w:trPr>
        <w:tc>
          <w:tcPr>
            <w:tcW w:w="8834"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22"/>
                <w:szCs w:val="22"/>
              </w:rPr>
            </w:pPr>
            <w:r>
              <w:rPr>
                <w:kern w:val="0"/>
                <w:sz w:val="22"/>
                <w:szCs w:val="22"/>
              </w:rPr>
              <w:t>（2022年度）</w:t>
            </w:r>
          </w:p>
        </w:tc>
      </w:tr>
      <w:tr>
        <w:tblPrEx>
          <w:tblCellMar>
            <w:top w:w="0" w:type="dxa"/>
            <w:left w:w="0" w:type="dxa"/>
            <w:bottom w:w="0" w:type="dxa"/>
            <w:right w:w="0" w:type="dxa"/>
          </w:tblCellMar>
        </w:tblPrEx>
        <w:trPr>
          <w:trHeight w:val="276" w:hRule="atLeast"/>
          <w:jc w:val="center"/>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项目名称</w:t>
            </w:r>
          </w:p>
        </w:tc>
        <w:tc>
          <w:tcPr>
            <w:tcW w:w="705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旅游业务成本支出</w:t>
            </w:r>
          </w:p>
        </w:tc>
      </w:tr>
      <w:tr>
        <w:tblPrEx>
          <w:tblCellMar>
            <w:top w:w="0" w:type="dxa"/>
            <w:left w:w="0" w:type="dxa"/>
            <w:bottom w:w="0" w:type="dxa"/>
            <w:right w:w="0" w:type="dxa"/>
          </w:tblCellMar>
        </w:tblPrEx>
        <w:trPr>
          <w:trHeight w:val="276" w:hRule="atLeast"/>
          <w:jc w:val="center"/>
        </w:trPr>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主管部门</w:t>
            </w:r>
          </w:p>
        </w:tc>
        <w:tc>
          <w:tcPr>
            <w:tcW w:w="374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新疆维吾尔自治区文化和旅游厅</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实施单位</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新疆维吾尔自治区旅游培训中心</w:t>
            </w:r>
          </w:p>
        </w:tc>
      </w:tr>
      <w:tr>
        <w:tblPrEx>
          <w:tblCellMar>
            <w:top w:w="0" w:type="dxa"/>
            <w:left w:w="0" w:type="dxa"/>
            <w:bottom w:w="0" w:type="dxa"/>
            <w:right w:w="0" w:type="dxa"/>
          </w:tblCellMar>
        </w:tblPrEx>
        <w:trPr>
          <w:trHeight w:val="276" w:hRule="atLeast"/>
          <w:jc w:val="center"/>
        </w:trPr>
        <w:tc>
          <w:tcPr>
            <w:tcW w:w="17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项目资金</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年初预算数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全年预算数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全年执行数</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执行率</w:t>
            </w:r>
          </w:p>
        </w:tc>
      </w:tr>
      <w:tr>
        <w:tblPrEx>
          <w:tblCellMar>
            <w:top w:w="0" w:type="dxa"/>
            <w:left w:w="0" w:type="dxa"/>
            <w:bottom w:w="0" w:type="dxa"/>
            <w:right w:w="0" w:type="dxa"/>
          </w:tblCellMar>
        </w:tblPrEx>
        <w:trPr>
          <w:trHeight w:val="276" w:hRule="atLeast"/>
          <w:jc w:val="center"/>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kern w:val="0"/>
                <w:sz w:val="18"/>
                <w:szCs w:val="18"/>
              </w:rPr>
              <w:t>年度资金总额</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170万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170万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108.72万</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63.95%</w:t>
            </w:r>
          </w:p>
        </w:tc>
      </w:tr>
      <w:tr>
        <w:tblPrEx>
          <w:tblCellMar>
            <w:top w:w="0" w:type="dxa"/>
            <w:left w:w="0" w:type="dxa"/>
            <w:bottom w:w="0" w:type="dxa"/>
            <w:right w:w="0" w:type="dxa"/>
          </w:tblCellMar>
        </w:tblPrEx>
        <w:trPr>
          <w:trHeight w:val="276" w:hRule="atLeast"/>
          <w:jc w:val="center"/>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其中：当年财政拨款</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100万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100万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100万</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100%</w:t>
            </w:r>
          </w:p>
        </w:tc>
      </w:tr>
      <w:tr>
        <w:tblPrEx>
          <w:tblCellMar>
            <w:top w:w="0" w:type="dxa"/>
            <w:left w:w="0" w:type="dxa"/>
            <w:bottom w:w="0" w:type="dxa"/>
            <w:right w:w="0" w:type="dxa"/>
          </w:tblCellMar>
        </w:tblPrEx>
        <w:trPr>
          <w:trHeight w:val="276" w:hRule="atLeast"/>
          <w:jc w:val="center"/>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上年结转资金</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276" w:hRule="atLeast"/>
          <w:jc w:val="center"/>
        </w:trPr>
        <w:tc>
          <w:tcPr>
            <w:tcW w:w="17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 xml:space="preserve">  其他资金</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70万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70万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8.72万</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12.46%</w:t>
            </w:r>
          </w:p>
        </w:tc>
      </w:tr>
      <w:tr>
        <w:tblPrEx>
          <w:tblCellMar>
            <w:top w:w="0" w:type="dxa"/>
            <w:left w:w="0" w:type="dxa"/>
            <w:bottom w:w="0" w:type="dxa"/>
            <w:right w:w="0" w:type="dxa"/>
          </w:tblCellMar>
        </w:tblPrEx>
        <w:trPr>
          <w:trHeight w:val="276" w:hRule="atLeast"/>
          <w:jc w:val="center"/>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年度总体目标</w:t>
            </w:r>
          </w:p>
        </w:tc>
        <w:tc>
          <w:tcPr>
            <w:tcW w:w="473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预期目标</w:t>
            </w:r>
          </w:p>
        </w:tc>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实际完成情况</w:t>
            </w:r>
          </w:p>
        </w:tc>
      </w:tr>
      <w:tr>
        <w:tblPrEx>
          <w:tblCellMar>
            <w:top w:w="0" w:type="dxa"/>
            <w:left w:w="0" w:type="dxa"/>
            <w:bottom w:w="0" w:type="dxa"/>
            <w:right w:w="0" w:type="dxa"/>
          </w:tblCellMar>
        </w:tblPrEx>
        <w:trPr>
          <w:trHeight w:val="720"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473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sz w:val="18"/>
                <w:szCs w:val="18"/>
              </w:rPr>
            </w:pPr>
            <w:r>
              <w:rPr>
                <w:rFonts w:hint="eastAsia"/>
                <w:sz w:val="18"/>
                <w:szCs w:val="18"/>
              </w:rPr>
              <w:t>利用信息化建设成果，提高工作质量和效率，以线上为主，线下为辅的原则开展各项培训，通过更科学的课程设计，务实的调查研究，制定出有针对性的培训方案和方法，以实现低成本，高质量，扩范围，增人数的目标。</w:t>
            </w:r>
          </w:p>
        </w:tc>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利用信息化建设成果，提高工作质量和效率，以线上为主，线下为辅的原则开展各项培训，通过更科学的课程设计，务实的调查研究，制定出有针对性的培训方案和方法，以实现低成本，高质量，扩范围，增人数的目标。</w:t>
            </w:r>
          </w:p>
        </w:tc>
      </w:tr>
      <w:tr>
        <w:tblPrEx>
          <w:tblCellMar>
            <w:top w:w="0" w:type="dxa"/>
            <w:left w:w="0" w:type="dxa"/>
            <w:bottom w:w="0" w:type="dxa"/>
            <w:right w:w="0" w:type="dxa"/>
          </w:tblCellMar>
        </w:tblPrEx>
        <w:trPr>
          <w:trHeight w:val="408" w:hRule="atLeast"/>
          <w:jc w:val="center"/>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绩效指标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一级指标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二级指标</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三级指标</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年度指标值</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实际完成值</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偏差原因分析及改进措施</w:t>
            </w:r>
          </w:p>
        </w:tc>
      </w:tr>
      <w:tr>
        <w:tblPrEx>
          <w:tblCellMar>
            <w:top w:w="0" w:type="dxa"/>
            <w:left w:w="0" w:type="dxa"/>
            <w:bottom w:w="0" w:type="dxa"/>
            <w:right w:w="0" w:type="dxa"/>
          </w:tblCellMar>
        </w:tblPrEx>
        <w:trPr>
          <w:trHeight w:val="408"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产出指标</w:t>
            </w:r>
          </w:p>
        </w:tc>
        <w:tc>
          <w:tcPr>
            <w:tcW w:w="119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数量指标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培训人数（人）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≥350人</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0人</w:t>
            </w:r>
          </w:p>
        </w:tc>
        <w:tc>
          <w:tcPr>
            <w:tcW w:w="174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因疫情原因及业务处室意见，原计划举办的“自治区全域旅游培训班、自治区文旅系统办公室主任培训班、自治区文旅系统安全生产培训班（北疆片区）”3期培训班未能举办，已向厅人事处报备，并获得同意，因此该指标未完成</w:t>
            </w: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19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培训天数（天）</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≥15天</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0天</w:t>
            </w:r>
          </w:p>
        </w:tc>
        <w:tc>
          <w:tcPr>
            <w:tcW w:w="174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19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培训班次（班次）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≥3个</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0个</w:t>
            </w:r>
          </w:p>
        </w:tc>
        <w:tc>
          <w:tcPr>
            <w:tcW w:w="174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19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发放工资人数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≥7人</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8人</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19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工资发放次数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≥12次</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12次</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19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r>
              <w:rPr>
                <w:kern w:val="0"/>
                <w:sz w:val="18"/>
                <w:szCs w:val="18"/>
              </w:rPr>
              <w:t>质量指标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培训合格率（%）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876"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19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培训出勤率（%）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00"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时效指标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培训按期完成率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因疫情原因及业务处室意见，原计划举办的“自治区全域旅游培训班、自治区文旅系统办公室主任培训班、自治区文旅系统安全生产培训班（北疆片区）”3期培训班未能举办，已向厅人事处报备，并获得同意，因此该指标未完成</w:t>
            </w:r>
          </w:p>
        </w:tc>
      </w:tr>
      <w:tr>
        <w:tblPrEx>
          <w:tblCellMar>
            <w:top w:w="0" w:type="dxa"/>
            <w:left w:w="0" w:type="dxa"/>
            <w:bottom w:w="0" w:type="dxa"/>
            <w:right w:w="0" w:type="dxa"/>
          </w:tblCellMar>
        </w:tblPrEx>
        <w:trPr>
          <w:trHeight w:val="500"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资金发放及时率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sz w:val="18"/>
                <w:szCs w:val="18"/>
              </w:rPr>
              <w:t>66.67%</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因疫情影响，财务人员在家静默，无法及时划款，因此8-11月工资均延迟发放。</w:t>
            </w:r>
          </w:p>
        </w:tc>
      </w:tr>
      <w:tr>
        <w:tblPrEx>
          <w:tblCellMar>
            <w:top w:w="0" w:type="dxa"/>
            <w:left w:w="0" w:type="dxa"/>
            <w:bottom w:w="0" w:type="dxa"/>
            <w:right w:w="0" w:type="dxa"/>
          </w:tblCellMar>
        </w:tblPrEx>
        <w:trPr>
          <w:trHeight w:val="560"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r>
              <w:rPr>
                <w:kern w:val="0"/>
                <w:sz w:val="18"/>
                <w:szCs w:val="18"/>
              </w:rPr>
              <w:t>成本指标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培训人均支出标准</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≤200元/人.天</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200元/人.天</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560"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每次发放工资资金数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≤5万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4.92万</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714"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119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劳务支出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≤30万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54.1万</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r>
              <w:rPr>
                <w:rFonts w:hint="eastAsia"/>
                <w:sz w:val="18"/>
                <w:szCs w:val="18"/>
              </w:rPr>
              <w:t>指标值设置不准确，未考虑人员增加的问题。</w:t>
            </w:r>
          </w:p>
        </w:tc>
      </w:tr>
      <w:tr>
        <w:tblPrEx>
          <w:tblCellMar>
            <w:top w:w="0" w:type="dxa"/>
            <w:left w:w="0" w:type="dxa"/>
            <w:bottom w:w="0" w:type="dxa"/>
            <w:right w:w="0" w:type="dxa"/>
          </w:tblCellMar>
        </w:tblPrEx>
        <w:trPr>
          <w:trHeight w:val="620"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效益指标</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sz w:val="18"/>
                <w:szCs w:val="18"/>
              </w:rPr>
              <w:t>社会效益指标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城市形象提升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有效提升</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有效提升</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r>
        <w:tblPrEx>
          <w:tblCellMar>
            <w:top w:w="0" w:type="dxa"/>
            <w:left w:w="0" w:type="dxa"/>
            <w:bottom w:w="0" w:type="dxa"/>
            <w:right w:w="0" w:type="dxa"/>
          </w:tblCellMar>
        </w:tblPrEx>
        <w:trPr>
          <w:trHeight w:val="432" w:hRule="atLeast"/>
          <w:jc w:val="center"/>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满意度</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kern w:val="0"/>
                <w:sz w:val="18"/>
                <w:szCs w:val="18"/>
              </w:rPr>
              <w:t>服务对象满意度指标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sz w:val="18"/>
                <w:szCs w:val="18"/>
              </w:rPr>
            </w:pPr>
            <w:r>
              <w:rPr>
                <w:rFonts w:hint="eastAsia"/>
                <w:sz w:val="18"/>
                <w:szCs w:val="18"/>
              </w:rPr>
              <w:t>受益人员满意度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rPr>
              <w:t>95%</w:t>
            </w:r>
          </w:p>
        </w:tc>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sz w:val="18"/>
                <w:szCs w:val="18"/>
              </w:rPr>
            </w:pPr>
          </w:p>
        </w:tc>
      </w:tr>
    </w:tbl>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widowControl/>
        <w:jc w:val="center"/>
        <w:textAlignment w:val="center"/>
        <w:rPr>
          <w:rFonts w:eastAsia="方正小标宋简体"/>
          <w:b/>
          <w:kern w:val="0"/>
          <w:sz w:val="32"/>
          <w:szCs w:val="32"/>
        </w:rPr>
        <w:sectPr>
          <w:pgSz w:w="11906" w:h="16838"/>
          <w:pgMar w:top="1440" w:right="1558" w:bottom="1440" w:left="1800" w:header="851" w:footer="992" w:gutter="0"/>
          <w:cols w:space="425" w:num="1"/>
          <w:docGrid w:type="lines" w:linePitch="312" w:charSpace="0"/>
        </w:sectPr>
      </w:pPr>
    </w:p>
    <w:p>
      <w:pPr>
        <w:spacing w:line="600" w:lineRule="exact"/>
        <w:rPr>
          <w:rFonts w:ascii="黑体" w:hAnsi="黑体" w:eastAsia="黑体" w:cs="黑体"/>
        </w:rPr>
      </w:pPr>
      <w:r>
        <w:rPr>
          <w:rFonts w:hint="eastAsia" w:ascii="黑体" w:hAnsi="黑体" w:eastAsia="黑体" w:cs="黑体"/>
          <w:bCs/>
          <w:sz w:val="32"/>
          <w:szCs w:val="32"/>
        </w:rPr>
        <w:t>附件1</w:t>
      </w:r>
    </w:p>
    <w:p>
      <w:pPr>
        <w:pStyle w:val="18"/>
        <w:ind w:firstLine="562"/>
        <w:jc w:val="center"/>
        <w:rPr>
          <w:sz w:val="28"/>
          <w:szCs w:val="40"/>
        </w:rPr>
      </w:pPr>
      <w:bookmarkStart w:id="1" w:name="_Toc26499_WPSOffice_Level2"/>
      <w:bookmarkStart w:id="2" w:name="_Toc30064_WPSOffice_Level1"/>
      <w:r>
        <w:rPr>
          <w:rFonts w:hint="eastAsia"/>
          <w:b/>
          <w:bCs/>
          <w:sz w:val="28"/>
          <w:szCs w:val="40"/>
          <w:highlight w:val="none"/>
        </w:rPr>
        <w:t>旅游业务成本支出项目绩效评</w:t>
      </w:r>
      <w:r>
        <w:rPr>
          <w:rFonts w:hint="eastAsia"/>
          <w:b/>
          <w:bCs/>
          <w:sz w:val="28"/>
          <w:szCs w:val="40"/>
        </w:rPr>
        <w:t>价指标体系及综合评分表</w:t>
      </w:r>
      <w:bookmarkEnd w:id="1"/>
      <w:bookmarkEnd w:id="2"/>
    </w:p>
    <w:tbl>
      <w:tblPr>
        <w:tblStyle w:val="13"/>
        <w:tblW w:w="44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8"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301"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344"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92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2048"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537"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048"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048"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048"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8"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continue"/>
            <w:shd w:val="clear" w:color="auto" w:fill="FFFFFF"/>
            <w:vAlign w:val="center"/>
          </w:tcPr>
          <w:p>
            <w:pPr>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8" w:type="pct"/>
            <w:vMerge w:val="continue"/>
            <w:shd w:val="clear" w:color="auto" w:fill="FFFFFF"/>
            <w:vAlign w:val="center"/>
          </w:tcPr>
          <w:p>
            <w:pPr>
              <w:spacing w:line="0" w:lineRule="atLeast"/>
              <w:jc w:val="center"/>
              <w:rPr>
                <w:color w:val="000000"/>
                <w:kern w:val="0"/>
                <w:sz w:val="22"/>
                <w:szCs w:val="22"/>
              </w:rPr>
            </w:pPr>
          </w:p>
        </w:tc>
        <w:tc>
          <w:tcPr>
            <w:tcW w:w="301"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8"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01"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92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048"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8" w:type="pct"/>
            <w:vMerge w:val="continue"/>
            <w:shd w:val="clear" w:color="auto" w:fill="FFFFFF"/>
            <w:vAlign w:val="center"/>
          </w:tcPr>
          <w:p>
            <w:pPr>
              <w:widowControl/>
              <w:spacing w:line="0" w:lineRule="atLeast"/>
              <w:jc w:val="center"/>
              <w:rPr>
                <w:color w:val="000000"/>
                <w:kern w:val="0"/>
                <w:sz w:val="22"/>
                <w:szCs w:val="22"/>
              </w:rPr>
            </w:pPr>
          </w:p>
        </w:tc>
        <w:tc>
          <w:tcPr>
            <w:tcW w:w="301"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048"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0000000000000000000"/>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379A8"/>
    <w:multiLevelType w:val="singleLevel"/>
    <w:tmpl w:val="FF9379A8"/>
    <w:lvl w:ilvl="0" w:tentative="0">
      <w:start w:val="2"/>
      <w:numFmt w:val="chineseCounting"/>
      <w:suff w:val="nothing"/>
      <w:lvlText w:val="（%1）"/>
      <w:lvlJc w:val="left"/>
      <w:rPr>
        <w:rFonts w:hint="eastAsia"/>
      </w:rPr>
    </w:lvl>
  </w:abstractNum>
  <w:abstractNum w:abstractNumId="1">
    <w:nsid w:val="116B29BF"/>
    <w:multiLevelType w:val="singleLevel"/>
    <w:tmpl w:val="116B29BF"/>
    <w:lvl w:ilvl="0" w:tentative="0">
      <w:start w:val="3"/>
      <w:numFmt w:val="chineseCounting"/>
      <w:suff w:val="nothing"/>
      <w:lvlText w:val="%1、"/>
      <w:lvlJc w:val="left"/>
      <w:rPr>
        <w:rFonts w:hint="eastAsia"/>
      </w:rPr>
    </w:lvl>
  </w:abstractNum>
  <w:abstractNum w:abstractNumId="2">
    <w:nsid w:val="27813159"/>
    <w:multiLevelType w:val="singleLevel"/>
    <w:tmpl w:val="27813159"/>
    <w:lvl w:ilvl="0" w:tentative="0">
      <w:start w:val="3"/>
      <w:numFmt w:val="chineseCounting"/>
      <w:suff w:val="nothing"/>
      <w:lvlText w:val="（%1）"/>
      <w:lvlJc w:val="left"/>
      <w:rPr>
        <w:rFonts w:hint="eastAsia"/>
      </w:rPr>
    </w:lvl>
  </w:abstractNum>
  <w:abstractNum w:abstractNumId="3">
    <w:nsid w:val="6FAA0AB1"/>
    <w:multiLevelType w:val="singleLevel"/>
    <w:tmpl w:val="6FAA0AB1"/>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zNjM3ZjNmMGUxY2E3MTg1Y2U0Y2MxMzlkMDRhODkifQ=="/>
  </w:docVars>
  <w:rsids>
    <w:rsidRoot w:val="FF6C4049"/>
    <w:rsid w:val="00011FB9"/>
    <w:rsid w:val="0001424C"/>
    <w:rsid w:val="00054943"/>
    <w:rsid w:val="00097E64"/>
    <w:rsid w:val="000A2006"/>
    <w:rsid w:val="0016687B"/>
    <w:rsid w:val="00167294"/>
    <w:rsid w:val="001C6203"/>
    <w:rsid w:val="001C7826"/>
    <w:rsid w:val="001E32D6"/>
    <w:rsid w:val="002439C1"/>
    <w:rsid w:val="002E3352"/>
    <w:rsid w:val="003142A2"/>
    <w:rsid w:val="003962CC"/>
    <w:rsid w:val="00427071"/>
    <w:rsid w:val="00453767"/>
    <w:rsid w:val="00492B3F"/>
    <w:rsid w:val="00493442"/>
    <w:rsid w:val="004A0487"/>
    <w:rsid w:val="004B211D"/>
    <w:rsid w:val="004B4965"/>
    <w:rsid w:val="00551ECA"/>
    <w:rsid w:val="00574CD8"/>
    <w:rsid w:val="00596E8F"/>
    <w:rsid w:val="005A37F0"/>
    <w:rsid w:val="005C0183"/>
    <w:rsid w:val="006340AC"/>
    <w:rsid w:val="006F7242"/>
    <w:rsid w:val="00723EF6"/>
    <w:rsid w:val="00777B32"/>
    <w:rsid w:val="007A0624"/>
    <w:rsid w:val="007B168A"/>
    <w:rsid w:val="007F16C2"/>
    <w:rsid w:val="008409FC"/>
    <w:rsid w:val="008A3A05"/>
    <w:rsid w:val="008B2CFE"/>
    <w:rsid w:val="009176FE"/>
    <w:rsid w:val="009470F9"/>
    <w:rsid w:val="00957E44"/>
    <w:rsid w:val="009709EA"/>
    <w:rsid w:val="009F7CDD"/>
    <w:rsid w:val="00A23298"/>
    <w:rsid w:val="00A535E5"/>
    <w:rsid w:val="00AE5C0E"/>
    <w:rsid w:val="00B11063"/>
    <w:rsid w:val="00B32650"/>
    <w:rsid w:val="00B34513"/>
    <w:rsid w:val="00B812F2"/>
    <w:rsid w:val="00B85AD2"/>
    <w:rsid w:val="00BB6C6C"/>
    <w:rsid w:val="00C001AF"/>
    <w:rsid w:val="00C07EEA"/>
    <w:rsid w:val="00C8139B"/>
    <w:rsid w:val="00CD6CC1"/>
    <w:rsid w:val="00CE0361"/>
    <w:rsid w:val="00D1511F"/>
    <w:rsid w:val="00DB100B"/>
    <w:rsid w:val="00DB69B0"/>
    <w:rsid w:val="00E4331E"/>
    <w:rsid w:val="00EA0461"/>
    <w:rsid w:val="00EC465B"/>
    <w:rsid w:val="00F24C94"/>
    <w:rsid w:val="00F26FF6"/>
    <w:rsid w:val="00F47540"/>
    <w:rsid w:val="00F510F3"/>
    <w:rsid w:val="00F52607"/>
    <w:rsid w:val="00F72E46"/>
    <w:rsid w:val="07397B77"/>
    <w:rsid w:val="13471461"/>
    <w:rsid w:val="13B90F01"/>
    <w:rsid w:val="181066D2"/>
    <w:rsid w:val="1C671E73"/>
    <w:rsid w:val="38CA40DD"/>
    <w:rsid w:val="395F2B56"/>
    <w:rsid w:val="3BECE841"/>
    <w:rsid w:val="3FF7797D"/>
    <w:rsid w:val="5BFF6039"/>
    <w:rsid w:val="5D76A616"/>
    <w:rsid w:val="5D7F20B9"/>
    <w:rsid w:val="5DAC7D0E"/>
    <w:rsid w:val="5F98B5AF"/>
    <w:rsid w:val="5FFE8511"/>
    <w:rsid w:val="5FFEACE2"/>
    <w:rsid w:val="643EE26D"/>
    <w:rsid w:val="670D092A"/>
    <w:rsid w:val="6F5C41AC"/>
    <w:rsid w:val="6FAF6C78"/>
    <w:rsid w:val="7317C656"/>
    <w:rsid w:val="734ED73F"/>
    <w:rsid w:val="77FD8BE9"/>
    <w:rsid w:val="79A9BD3F"/>
    <w:rsid w:val="7B5A4FAD"/>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22"/>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Char"/>
    <w:basedOn w:val="14"/>
    <w:link w:val="7"/>
    <w:qFormat/>
    <w:uiPriority w:val="0"/>
    <w:rPr>
      <w:rFonts w:ascii="Times New Roman" w:hAnsi="Times New Roman" w:eastAsia="宋体" w:cs="Times New Roman"/>
      <w:kern w:val="2"/>
      <w:sz w:val="18"/>
      <w:szCs w:val="18"/>
    </w:rPr>
  </w:style>
  <w:style w:type="character" w:customStyle="1" w:styleId="20">
    <w:name w:val="页眉 Char"/>
    <w:basedOn w:val="14"/>
    <w:link w:val="9"/>
    <w:qFormat/>
    <w:uiPriority w:val="0"/>
    <w:rPr>
      <w:rFonts w:ascii="Times New Roman" w:hAnsi="Times New Roman" w:eastAsia="宋体" w:cs="Times New Roman"/>
      <w:kern w:val="2"/>
      <w:sz w:val="18"/>
      <w:szCs w:val="18"/>
    </w:rPr>
  </w:style>
  <w:style w:type="character" w:customStyle="1" w:styleId="21">
    <w:name w:val="批注文字 Char"/>
    <w:basedOn w:val="14"/>
    <w:link w:val="4"/>
    <w:qFormat/>
    <w:uiPriority w:val="0"/>
    <w:rPr>
      <w:rFonts w:ascii="Times New Roman" w:hAnsi="Times New Roman" w:eastAsia="宋体" w:cs="Times New Roman"/>
      <w:kern w:val="2"/>
      <w:sz w:val="21"/>
      <w:szCs w:val="24"/>
    </w:rPr>
  </w:style>
  <w:style w:type="character" w:customStyle="1" w:styleId="22">
    <w:name w:val="批注主题 Char"/>
    <w:basedOn w:val="21"/>
    <w:link w:val="10"/>
    <w:qFormat/>
    <w:uiPriority w:val="0"/>
    <w:rPr>
      <w:rFonts w:ascii="Times New Roman" w:hAnsi="Times New Roman" w:eastAsia="宋体" w:cs="Times New Roman"/>
      <w:b/>
      <w:bCs/>
      <w:kern w:val="2"/>
      <w:sz w:val="21"/>
      <w:szCs w:val="24"/>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1691</Words>
  <Characters>9645</Characters>
  <Lines>80</Lines>
  <Paragraphs>22</Paragraphs>
  <TotalTime>14</TotalTime>
  <ScaleCrop>false</ScaleCrop>
  <LinksUpToDate>false</LinksUpToDate>
  <CharactersWithSpaces>11314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2023-04-10T17:38:00Z</dcterms:created>
  <dc:creator>审核人</dc:creator>
  <cp:lastModifiedBy>wlt</cp:lastModifiedBy>
  <dcterms:modified xsi:type="dcterms:W3CDTF">2024-01-09T12:15:42Z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DEB37354E36D40D48F20A3DAB18895C3</vt:lpwstr>
  </property>
</Properties>
</file>