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ind w:firstLine="480" w:firstLineChars="100"/>
        <w:jc w:val="both"/>
        <w:rPr>
          <w:rFonts w:eastAsia="方正小标宋_GBK"/>
          <w:kern w:val="0"/>
          <w:sz w:val="48"/>
          <w:szCs w:val="48"/>
        </w:rPr>
      </w:pPr>
      <w:r>
        <w:rPr>
          <w:rFonts w:hint="eastAsia" w:eastAsia="方正小标宋_GBK"/>
          <w:kern w:val="0"/>
          <w:sz w:val="48"/>
          <w:szCs w:val="48"/>
          <w:lang w:val="en-US" w:eastAsia="zh-CN"/>
        </w:rPr>
        <w:t>机关运行成本性</w:t>
      </w:r>
      <w:r>
        <w:rPr>
          <w:rFonts w:eastAsia="方正小标宋_GBK"/>
          <w:kern w:val="0"/>
          <w:sz w:val="48"/>
          <w:szCs w:val="48"/>
        </w:rPr>
        <w:t>资金项目支出绩效</w:t>
      </w:r>
    </w:p>
    <w:p>
      <w:pPr>
        <w:spacing w:line="540" w:lineRule="exact"/>
        <w:ind w:firstLine="2880" w:firstLineChars="600"/>
        <w:jc w:val="both"/>
        <w:rPr>
          <w:rFonts w:eastAsia="方正小标宋_GBK"/>
          <w:kern w:val="0"/>
          <w:sz w:val="48"/>
          <w:szCs w:val="48"/>
        </w:rPr>
      </w:pPr>
      <w:r>
        <w:rPr>
          <w:rFonts w:eastAsia="方正小标宋_GBK"/>
          <w:kern w:val="0"/>
          <w:sz w:val="48"/>
          <w:szCs w:val="48"/>
        </w:rPr>
        <w:t>评价报告</w:t>
      </w:r>
    </w:p>
    <w:p>
      <w:pPr>
        <w:spacing w:line="540" w:lineRule="exact"/>
        <w:jc w:val="center"/>
        <w:rPr>
          <w:rFonts w:eastAsia="华文中宋"/>
          <w:b/>
          <w:kern w:val="0"/>
          <w:sz w:val="52"/>
          <w:szCs w:val="52"/>
        </w:rPr>
      </w:pPr>
    </w:p>
    <w:p>
      <w:pPr>
        <w:spacing w:line="540" w:lineRule="exact"/>
        <w:ind w:firstLine="2520" w:firstLineChars="700"/>
        <w:jc w:val="both"/>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jc w:val="left"/>
        <w:rPr>
          <w:rFonts w:hint="default" w:eastAsia="仿宋_GB2312"/>
          <w:kern w:val="0"/>
          <w:sz w:val="36"/>
          <w:szCs w:val="36"/>
          <w:lang w:val="en-US" w:eastAsia="zh-CN"/>
        </w:rPr>
      </w:pPr>
      <w:r>
        <w:rPr>
          <w:rFonts w:eastAsia="仿宋_GB2312"/>
          <w:kern w:val="0"/>
          <w:sz w:val="36"/>
          <w:szCs w:val="36"/>
        </w:rPr>
        <w:t>项目名称：</w:t>
      </w:r>
      <w:r>
        <w:rPr>
          <w:rFonts w:hint="eastAsia" w:eastAsia="仿宋_GB2312"/>
          <w:kern w:val="0"/>
          <w:sz w:val="36"/>
          <w:szCs w:val="36"/>
          <w:lang w:val="en-US" w:eastAsia="zh-CN"/>
        </w:rPr>
        <w:t>机关运行成本性支出</w:t>
      </w:r>
    </w:p>
    <w:p>
      <w:pPr>
        <w:spacing w:line="700" w:lineRule="exact"/>
        <w:jc w:val="left"/>
        <w:rPr>
          <w:rFonts w:hint="eastAsia" w:eastAsia="仿宋_GB2312"/>
          <w:kern w:val="0"/>
          <w:sz w:val="36"/>
          <w:szCs w:val="36"/>
          <w:lang w:val="en-US" w:eastAsia="zh-CN"/>
        </w:rPr>
      </w:pPr>
      <w:r>
        <w:rPr>
          <w:rFonts w:eastAsia="仿宋_GB2312"/>
          <w:kern w:val="0"/>
          <w:sz w:val="36"/>
          <w:szCs w:val="36"/>
        </w:rPr>
        <w:t>实施单位（公章）：</w:t>
      </w:r>
      <w:r>
        <w:rPr>
          <w:rFonts w:hint="eastAsia" w:eastAsia="仿宋_GB2312"/>
          <w:kern w:val="0"/>
          <w:sz w:val="36"/>
          <w:szCs w:val="36"/>
          <w:lang w:val="en-US" w:eastAsia="zh-CN"/>
        </w:rPr>
        <w:t>自治区文化和旅游厅机关服务中心</w:t>
      </w:r>
    </w:p>
    <w:p>
      <w:pPr>
        <w:spacing w:line="700" w:lineRule="exact"/>
        <w:jc w:val="left"/>
        <w:rPr>
          <w:rFonts w:hint="default" w:eastAsia="仿宋_GB2312"/>
          <w:kern w:val="0"/>
          <w:sz w:val="36"/>
          <w:szCs w:val="36"/>
          <w:lang w:val="en-US" w:eastAsia="zh-CN"/>
        </w:rPr>
      </w:pPr>
      <w:r>
        <w:rPr>
          <w:rFonts w:eastAsia="仿宋_GB2312"/>
          <w:kern w:val="0"/>
          <w:sz w:val="36"/>
          <w:szCs w:val="36"/>
        </w:rPr>
        <w:t>主管部门（公章）：</w:t>
      </w:r>
      <w:r>
        <w:rPr>
          <w:rFonts w:hint="eastAsia" w:eastAsia="仿宋_GB2312"/>
          <w:kern w:val="0"/>
          <w:sz w:val="36"/>
          <w:szCs w:val="36"/>
          <w:lang w:val="en-US" w:eastAsia="zh-CN"/>
        </w:rPr>
        <w:t>自治区文化和旅游厅</w:t>
      </w:r>
    </w:p>
    <w:p>
      <w:pPr>
        <w:spacing w:line="700" w:lineRule="exact"/>
        <w:jc w:val="left"/>
        <w:rPr>
          <w:rFonts w:hint="eastAsia" w:eastAsia="仿宋_GB2312"/>
          <w:kern w:val="0"/>
          <w:sz w:val="36"/>
          <w:szCs w:val="36"/>
          <w:lang w:val="en-US" w:eastAsia="zh-CN"/>
        </w:rPr>
      </w:pPr>
      <w:r>
        <w:rPr>
          <w:rFonts w:eastAsia="仿宋_GB2312"/>
          <w:kern w:val="0"/>
          <w:sz w:val="36"/>
          <w:szCs w:val="36"/>
        </w:rPr>
        <w:t>项目负责人（签章）：</w:t>
      </w:r>
      <w:r>
        <w:rPr>
          <w:rFonts w:hint="eastAsia" w:eastAsia="仿宋_GB2312"/>
          <w:kern w:val="0"/>
          <w:sz w:val="36"/>
          <w:szCs w:val="36"/>
          <w:lang w:val="en-US" w:eastAsia="zh-CN"/>
        </w:rPr>
        <w:t>贾蕊</w:t>
      </w:r>
    </w:p>
    <w:p>
      <w:pPr>
        <w:spacing w:line="700" w:lineRule="exact"/>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4</w:t>
      </w:r>
      <w:r>
        <w:rPr>
          <w:rFonts w:eastAsia="仿宋_GB2312"/>
          <w:kern w:val="0"/>
          <w:sz w:val="36"/>
          <w:szCs w:val="36"/>
        </w:rPr>
        <w:t>月</w:t>
      </w:r>
      <w:r>
        <w:rPr>
          <w:rFonts w:hint="eastAsia" w:eastAsia="仿宋_GB2312"/>
          <w:kern w:val="0"/>
          <w:sz w:val="36"/>
          <w:szCs w:val="36"/>
          <w:lang w:val="en-US" w:eastAsia="zh-CN"/>
        </w:rPr>
        <w:t>7</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3" w:firstLineChars="200"/>
        <w:rPr>
          <w:rFonts w:eastAsia="楷体_GB2312"/>
          <w:b/>
          <w:bCs/>
          <w:sz w:val="32"/>
          <w:szCs w:val="32"/>
        </w:rPr>
      </w:pPr>
      <w:r>
        <w:rPr>
          <w:rFonts w:eastAsia="楷体_GB2312"/>
          <w:b/>
          <w:bCs/>
          <w:sz w:val="32"/>
          <w:szCs w:val="32"/>
        </w:rPr>
        <w:t>（一）项目概况</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1、项目背景</w:t>
      </w:r>
    </w:p>
    <w:p>
      <w:pPr>
        <w:spacing w:line="560" w:lineRule="exact"/>
        <w:ind w:firstLine="640" w:firstLineChars="200"/>
        <w:rPr>
          <w:rStyle w:val="15"/>
          <w:rFonts w:hint="default" w:eastAsia="黑体"/>
          <w:b w:val="0"/>
          <w:bCs/>
          <w:spacing w:val="-4"/>
          <w:sz w:val="32"/>
          <w:szCs w:val="32"/>
          <w:highlight w:val="yellow"/>
          <w:lang w:val="en-US" w:eastAsia="zh-CN"/>
        </w:rPr>
      </w:pPr>
      <w:r>
        <w:rPr>
          <w:rFonts w:hint="eastAsia" w:ascii="仿宋_GB2312" w:hAnsi="仿宋_GB2312" w:eastAsia="仿宋_GB2312" w:cs="仿宋_GB2312"/>
          <w:sz w:val="32"/>
          <w:szCs w:val="32"/>
          <w:lang w:eastAsia="zh-CN"/>
        </w:rPr>
        <w:t>自治区文化和旅游厅</w:t>
      </w:r>
      <w:r>
        <w:rPr>
          <w:rFonts w:hint="eastAsia" w:ascii="仿宋_GB2312" w:hAnsi="仿宋_GB2312" w:eastAsia="仿宋_GB2312" w:cs="仿宋_GB2312"/>
          <w:sz w:val="32"/>
          <w:szCs w:val="32"/>
        </w:rPr>
        <w:t>机关服务中心主要担负厅机关后勤服务保障，做好厅机关办公楼、家属院的保洁、</w:t>
      </w:r>
      <w:r>
        <w:rPr>
          <w:rFonts w:hint="eastAsia" w:ascii="仿宋_GB2312" w:hAnsi="仿宋_GB2312" w:eastAsia="仿宋_GB2312" w:cs="仿宋_GB2312"/>
          <w:sz w:val="32"/>
          <w:szCs w:val="32"/>
          <w:lang w:eastAsia="zh-CN"/>
        </w:rPr>
        <w:t>治安、</w:t>
      </w:r>
      <w:r>
        <w:rPr>
          <w:rFonts w:hint="eastAsia" w:ascii="仿宋_GB2312" w:hAnsi="仿宋_GB2312" w:eastAsia="仿宋_GB2312" w:cs="仿宋_GB2312"/>
          <w:sz w:val="32"/>
          <w:szCs w:val="32"/>
        </w:rPr>
        <w:t>水、电、暖等设施设备的维修保养等服务工作，以及全厅系统的计划生育、节能减排等工作。</w:t>
      </w:r>
      <w:r>
        <w:rPr>
          <w:rFonts w:hint="eastAsia" w:ascii="仿宋_GB2312" w:hAnsi="仿宋_GB2312" w:eastAsia="仿宋_GB2312" w:cs="仿宋_GB2312"/>
          <w:sz w:val="32"/>
          <w:szCs w:val="32"/>
          <w:lang w:val="en-US" w:eastAsia="zh-CN"/>
        </w:rPr>
        <w:t>2018年之前，严格执行了房屋出租出借收支“两条线”。自</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年至</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累计上缴财政</w:t>
      </w:r>
      <w:r>
        <w:rPr>
          <w:rFonts w:hint="eastAsia" w:ascii="仿宋_GB2312" w:hAnsi="仿宋_GB2312" w:eastAsia="仿宋_GB2312" w:cs="仿宋_GB2312"/>
          <w:sz w:val="32"/>
          <w:szCs w:val="32"/>
        </w:rPr>
        <w:t>非税收入（房租收入）</w:t>
      </w:r>
      <w:r>
        <w:rPr>
          <w:rFonts w:hint="eastAsia" w:ascii="仿宋_GB2312" w:hAnsi="仿宋_GB2312" w:eastAsia="仿宋_GB2312" w:cs="仿宋_GB2312"/>
          <w:sz w:val="32"/>
          <w:szCs w:val="32"/>
          <w:lang w:val="en-US" w:eastAsia="zh-CN"/>
        </w:rPr>
        <w:t>2457.78万元。2019年部门预算时，在财政厅的支持下，根据《关于开展自治区本级2018年预算编制工作的通知》（新财预）文件精神，自治区本机部门非税收入成本性预算安排的原则，房屋（建筑物）成本性项目支出控制在当年非税征收计划的30%以内。拨付项目机关运行成本性支出229万元。</w:t>
      </w:r>
    </w:p>
    <w:p>
      <w:pPr>
        <w:pStyle w:val="2"/>
        <w:numPr>
          <w:ilvl w:val="0"/>
          <w:numId w:val="1"/>
        </w:numPr>
        <w:spacing w:before="0" w:after="0" w:line="560" w:lineRule="exact"/>
        <w:ind w:firstLine="640" w:firstLineChars="200"/>
        <w:jc w:val="both"/>
        <w:rPr>
          <w:rFonts w:hint="eastAsia" w:ascii="黑体" w:hAnsi="黑体" w:eastAsia="黑体" w:cs="黑体"/>
          <w:b w:val="0"/>
          <w:bCs w:val="0"/>
          <w:kern w:val="2"/>
        </w:rPr>
      </w:pPr>
      <w:r>
        <w:rPr>
          <w:rFonts w:hint="eastAsia" w:ascii="黑体" w:hAnsi="黑体" w:eastAsia="黑体" w:cs="黑体"/>
          <w:b w:val="0"/>
          <w:bCs w:val="0"/>
          <w:kern w:val="2"/>
        </w:rPr>
        <w:t>项目主要内容：</w:t>
      </w:r>
    </w:p>
    <w:p>
      <w:pPr>
        <w:spacing w:line="560" w:lineRule="exact"/>
        <w:ind w:firstLine="640" w:firstLineChars="200"/>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项目主要内容：</w:t>
      </w:r>
      <w:r>
        <w:rPr>
          <w:rStyle w:val="15"/>
          <w:rFonts w:hint="eastAsia" w:ascii="仿宋_GB2312" w:hAnsi="仿宋_GB2312" w:eastAsia="仿宋_GB2312" w:cs="仿宋_GB2312"/>
          <w:b w:val="0"/>
          <w:bCs/>
          <w:spacing w:val="-4"/>
          <w:sz w:val="32"/>
          <w:szCs w:val="32"/>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p>
      <w:pPr>
        <w:spacing w:line="560" w:lineRule="exact"/>
        <w:ind w:firstLine="640" w:firstLineChars="200"/>
      </w:pP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rPr>
      </w:pPr>
      <w:r>
        <w:rPr>
          <w:rFonts w:eastAsia="仿宋_GB2312"/>
          <w:b/>
          <w:bCs/>
          <w:sz w:val="32"/>
          <w:szCs w:val="32"/>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该项目年初预算数229万元，全年预算数229万元，实际总投入229万元，该项目资金已全部落实到位，资金来源为自治区资金。</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229万元，全年预算数229万元,全年执行数229万元，预算执行率为100%，主要用于：主要用于厅机关房屋设施维护共计2655平方米、支付厅机关聘用人员工资、厅办公楼维修维护；职工一区二区食堂维护费支出。</w:t>
      </w:r>
    </w:p>
    <w:p>
      <w:pPr>
        <w:spacing w:line="560" w:lineRule="exact"/>
        <w:ind w:firstLine="643"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p>
    <w:p>
      <w:pPr>
        <w:spacing w:line="560" w:lineRule="exact"/>
        <w:ind w:firstLine="624" w:firstLineChars="200"/>
        <w:rPr>
          <w:rFonts w:hint="eastAsia" w:ascii="仿宋_GB2312" w:hAnsi="仿宋_GB2312" w:eastAsia="仿宋_GB2312" w:cs="仿宋_GB2312"/>
          <w:b w:val="0"/>
          <w:bCs/>
          <w:sz w:val="32"/>
          <w:szCs w:val="32"/>
          <w:highlight w:val="none"/>
          <w:lang w:eastAsia="zh-CN"/>
        </w:rPr>
      </w:pPr>
      <w:r>
        <w:rPr>
          <w:rStyle w:val="15"/>
          <w:rFonts w:hint="eastAsia" w:ascii="仿宋_GB2312" w:hAnsi="仿宋_GB2312" w:eastAsia="仿宋_GB2312" w:cs="仿宋_GB2312"/>
          <w:b w:val="0"/>
          <w:bCs/>
          <w:spacing w:val="-4"/>
          <w:sz w:val="32"/>
          <w:szCs w:val="32"/>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p>
      <w:pPr>
        <w:spacing w:line="560" w:lineRule="exact"/>
        <w:ind w:firstLine="420" w:firstLineChars="200"/>
        <w:rPr>
          <w:rFonts w:hint="eastAsia" w:eastAsia="黑体"/>
          <w:b w:val="0"/>
          <w:bCs/>
          <w:lang w:eastAsia="zh-CN"/>
        </w:rPr>
      </w:pP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3"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pStyle w:val="18"/>
        <w:spacing w:line="560" w:lineRule="exact"/>
        <w:ind w:firstLine="640" w:firstLineChars="200"/>
        <w:rPr>
          <w:rFonts w:eastAsia="方正仿宋_GBK" w:cs="方正仿宋_GBK"/>
          <w:sz w:val="32"/>
          <w:szCs w:val="32"/>
        </w:rPr>
      </w:pPr>
      <w:r>
        <w:rPr>
          <w:rFonts w:eastAsia="仿宋_GB2312"/>
          <w:sz w:val="32"/>
          <w:szCs w:val="32"/>
        </w:rPr>
        <w:t>综合来看，通过开展有效的财政支出绩效评价管理，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rPr>
        <w:t>进行评价，评价核心为专项资金的支出完成情况和效果。</w:t>
      </w:r>
    </w:p>
    <w:p>
      <w:pPr>
        <w:spacing w:line="560" w:lineRule="exact"/>
        <w:ind w:firstLine="643"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640"/>
        <w:rPr>
          <w:rFonts w:eastAsia="方正仿宋_GBK" w:cs="方正仿宋_GBK"/>
          <w:color w:val="FF0000"/>
          <w:sz w:val="32"/>
          <w:szCs w:val="32"/>
          <w:highlight w:val="none"/>
        </w:rPr>
      </w:pPr>
      <w:r>
        <w:rPr>
          <w:rFonts w:hint="eastAsia" w:eastAsia="方正仿宋_GBK" w:cs="方正仿宋_GBK"/>
          <w:sz w:val="32"/>
          <w:szCs w:val="32"/>
        </w:rPr>
        <w:t>绩效评价标准通常包括计划标准、行业标准、历史标准等，用于对绩效指标完成情况进行比较、分析、评价。</w:t>
      </w:r>
      <w:r>
        <w:rPr>
          <w:rFonts w:hint="eastAsia" w:eastAsia="方正仿宋_GBK" w:cs="方正仿宋_GBK"/>
          <w:sz w:val="32"/>
          <w:szCs w:val="32"/>
          <w:highlight w:val="none"/>
        </w:rPr>
        <w:t>本次</w:t>
      </w:r>
      <w:r>
        <w:rPr>
          <w:rFonts w:hint="eastAsia" w:eastAsia="方正仿宋_GBK" w:cs="方正仿宋_GBK"/>
          <w:color w:val="auto"/>
          <w:sz w:val="32"/>
          <w:szCs w:val="32"/>
          <w:highlight w:val="none"/>
        </w:rPr>
        <w:t>评价主要采用了</w:t>
      </w:r>
      <w:r>
        <w:rPr>
          <w:rFonts w:hint="eastAsia" w:eastAsia="方正仿宋_GBK" w:cs="方正仿宋_GBK"/>
          <w:color w:val="auto"/>
          <w:sz w:val="32"/>
          <w:szCs w:val="32"/>
          <w:highlight w:val="none"/>
          <w:lang w:val="en-US" w:eastAsia="zh-CN"/>
        </w:rPr>
        <w:t>计划标准</w:t>
      </w:r>
      <w:r>
        <w:rPr>
          <w:rFonts w:hint="eastAsia" w:eastAsia="方正仿宋_GBK" w:cs="方正仿宋_GBK"/>
          <w:color w:val="auto"/>
          <w:sz w:val="32"/>
          <w:szCs w:val="32"/>
          <w:highlight w:val="none"/>
        </w:rPr>
        <w:t>。</w:t>
      </w:r>
    </w:p>
    <w:p>
      <w:pPr>
        <w:spacing w:line="560" w:lineRule="exact"/>
        <w:ind w:firstLine="640"/>
        <w:rPr>
          <w:rFonts w:eastAsia="方正仿宋_GBK" w:cs="方正仿宋_GBK"/>
          <w:sz w:val="32"/>
          <w:szCs w:val="32"/>
        </w:rPr>
      </w:pPr>
      <w:bookmarkStart w:id="0" w:name="_Toc17882"/>
      <w:bookmarkStart w:id="1" w:name="_Toc31464"/>
      <w:r>
        <w:rPr>
          <w:rFonts w:hint="eastAsia" w:eastAsia="方正仿宋_GBK" w:cs="方正仿宋_GBK"/>
          <w:b/>
          <w:bCs/>
          <w:sz w:val="32"/>
          <w:szCs w:val="32"/>
        </w:rPr>
        <w:t>计划标准：</w:t>
      </w:r>
      <w:r>
        <w:rPr>
          <w:rFonts w:hint="eastAsia" w:eastAsia="方正仿宋_GBK" w:cs="方正仿宋_GBK"/>
          <w:sz w:val="32"/>
          <w:szCs w:val="32"/>
        </w:rPr>
        <w:t>指以预先制定的目标、计划、预算、定额等作为评价标准。</w:t>
      </w:r>
      <w:bookmarkEnd w:id="0"/>
      <w:bookmarkEnd w:id="1"/>
    </w:p>
    <w:p>
      <w:pPr>
        <w:spacing w:line="560" w:lineRule="exact"/>
        <w:ind w:firstLine="640"/>
        <w:rPr>
          <w:rFonts w:eastAsia="方正仿宋_GBK" w:cs="方正仿宋_GBK"/>
          <w:sz w:val="32"/>
          <w:szCs w:val="32"/>
        </w:rPr>
      </w:pPr>
      <w:bookmarkStart w:id="2" w:name="_Toc2318"/>
      <w:bookmarkStart w:id="3" w:name="_Toc5633"/>
      <w:r>
        <w:rPr>
          <w:rFonts w:hint="eastAsia" w:eastAsia="方正仿宋_GBK" w:cs="方正仿宋_GBK"/>
          <w:b/>
          <w:bCs/>
          <w:sz w:val="32"/>
          <w:szCs w:val="32"/>
        </w:rPr>
        <w:t>行业标准：</w:t>
      </w:r>
      <w:r>
        <w:rPr>
          <w:rFonts w:hint="eastAsia" w:eastAsia="方正仿宋_GBK" w:cs="方正仿宋_GBK"/>
          <w:sz w:val="32"/>
          <w:szCs w:val="32"/>
        </w:rPr>
        <w:t>指参照国家公布的行业指标数据制定的评价标准。</w:t>
      </w:r>
      <w:bookmarkEnd w:id="2"/>
      <w:bookmarkEnd w:id="3"/>
    </w:p>
    <w:p>
      <w:pPr>
        <w:spacing w:line="560" w:lineRule="exact"/>
        <w:ind w:firstLine="640"/>
        <w:rPr>
          <w:rFonts w:eastAsia="方正仿宋_GBK" w:cs="方正仿宋_GBK"/>
          <w:sz w:val="32"/>
          <w:szCs w:val="32"/>
        </w:rPr>
      </w:pPr>
      <w:bookmarkStart w:id="4" w:name="_Toc16028"/>
      <w:bookmarkStart w:id="5" w:name="_Toc430"/>
      <w:r>
        <w:rPr>
          <w:rFonts w:hint="eastAsia" w:eastAsia="方正仿宋_GBK" w:cs="方正仿宋_GBK"/>
          <w:b/>
          <w:bCs/>
          <w:sz w:val="32"/>
          <w:szCs w:val="32"/>
        </w:rPr>
        <w:t>历史标准：</w:t>
      </w:r>
      <w:r>
        <w:rPr>
          <w:rFonts w:hint="eastAsia" w:eastAsia="方正仿宋_GBK" w:cs="方正仿宋_GBK"/>
          <w:sz w:val="32"/>
          <w:szCs w:val="32"/>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711"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eastAsia="仿宋_GB2312"/>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b w:val="0"/>
          <w:bCs w:val="0"/>
          <w:highlight w:val="none"/>
        </w:rPr>
        <w:t xml:space="preserve">总得分为 </w:t>
      </w:r>
      <w:r>
        <w:rPr>
          <w:rFonts w:hint="eastAsia" w:ascii="Times New Roman" w:hAnsi="Times New Roman" w:eastAsia="仿宋_GB2312"/>
          <w:b w:val="0"/>
          <w:bCs w:val="0"/>
          <w:highlight w:val="none"/>
          <w:lang w:val="en-US" w:eastAsia="zh-CN"/>
        </w:rPr>
        <w:t>95</w:t>
      </w:r>
      <w:r>
        <w:rPr>
          <w:rFonts w:hint="eastAsia" w:ascii="Times New Roman" w:hAnsi="Times New Roman" w:eastAsia="仿宋_GB2312"/>
          <w:b w:val="0"/>
          <w:bCs w:val="0"/>
          <w:highlight w:val="none"/>
        </w:rPr>
        <w:t>分，属于“优（良/中/差）”。其中，项目决策类指标权重为20分，得分为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38</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95</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w:t>
      </w:r>
      <w:r>
        <w:rPr>
          <w:rFonts w:hint="eastAsia" w:ascii="Times New Roman" w:hAnsi="Times New Roman" w:eastAsia="仿宋_GB2312"/>
          <w:b w:val="0"/>
          <w:bCs w:val="0"/>
        </w:rPr>
        <w:t>具体打分情况详见：附件1综合评分表</w:t>
      </w:r>
      <w:r>
        <w:rPr>
          <w:rFonts w:hint="eastAsia" w:ascii="Times New Roman" w:hAnsi="Times New Roman" w:eastAsia="仿宋_GB2312"/>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default"/>
                <w:color w:val="000000"/>
                <w:sz w:val="22"/>
                <w:lang w:val="en-US" w:eastAsia="zh-CN"/>
              </w:rPr>
              <w:t>38</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98</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3"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项目决策类指标包括项目立项、绩效目标和资金投入三方面的内容，由6个三级指标构成，权重分值为20分，实际得分19分，得分率为95%。</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根据《关于开展自治区本级2018年预算编制工作的通知》（新财预）文件精神，自治区本机部门非税收入成本性预算安排的原则，房屋（建筑物）成本性项目支出控制在当年非税征收计划的30%以内。符合相关法律法规，围绕本单位工作重点和工作计划制定经费预算，属于公共财政支持范围。</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w:t>
      </w:r>
      <w:r>
        <w:rPr>
          <w:rFonts w:hint="eastAsia" w:ascii="仿宋_GB2312" w:hAnsi="仿宋_GB2312" w:eastAsia="仿宋_GB2312" w:cs="仿宋_GB2312"/>
          <w:sz w:val="32"/>
          <w:szCs w:val="32"/>
          <w:lang w:eastAsia="zh-CN"/>
        </w:rPr>
        <w:t>按照部门预算申报要求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根据下年度工作计划和经费预算，经过与本单位各个科室商讨、筛选确定经费预算计划，确定最终预算方案。项目的审批文件、材料符合相关要求，项目事前经过必要的、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预算编制经过与各个科室系统的、充分的商讨，并提供充分的测算依据和佐证资料，预算内容与项目项目绩效申报表相匹配。项目预算金额与项目支出任务相匹配。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5"/>
        </w:numPr>
        <w:spacing w:before="0" w:after="0" w:line="560" w:lineRule="exact"/>
        <w:ind w:firstLine="643"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w:t>
      </w:r>
      <w:r>
        <w:rPr>
          <w:rFonts w:hint="eastAsia" w:ascii="仿宋_GB2312" w:hAnsi="仿宋_GB2312" w:eastAsia="仿宋_GB2312" w:cs="仿宋_GB2312"/>
          <w:sz w:val="32"/>
          <w:szCs w:val="32"/>
          <w:highlight w:val="none"/>
          <w:lang w:val="en-US" w:eastAsia="zh-CN"/>
        </w:rPr>
        <w:t>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highlight w:val="none"/>
          <w:lang w:val="en-US" w:eastAsia="zh-CN"/>
        </w:rPr>
        <w:t>总投资229万元，财政资金及时足额到位，到位率100%，预算资金按计划进度执行。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预算编制较为详细，项目资金支出总体能够按照预算执行，</w:t>
      </w:r>
      <w:r>
        <w:rPr>
          <w:rFonts w:hint="eastAsia" w:ascii="仿宋_GB2312" w:hAnsi="仿宋_GB2312" w:eastAsia="仿宋_GB2312" w:cs="仿宋_GB2312"/>
          <w:sz w:val="32"/>
          <w:szCs w:val="32"/>
          <w:highlight w:val="none"/>
          <w:lang w:val="en-US" w:eastAsia="zh-CN"/>
        </w:rPr>
        <w:t>预算资金支出229万元，预算执行率为100%。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w:t>
      </w:r>
      <w:bookmarkStart w:id="9" w:name="_GoBack"/>
      <w:bookmarkEnd w:id="9"/>
      <w:r>
        <w:rPr>
          <w:rFonts w:hint="eastAsia" w:ascii="仿宋_GB2312" w:hAnsi="仿宋_GB2312" w:eastAsia="仿宋_GB2312" w:cs="仿宋_GB2312"/>
          <w:sz w:val="32"/>
          <w:szCs w:val="32"/>
          <w:lang w:val="en-US" w:eastAsia="zh-CN"/>
        </w:rPr>
        <w:t>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5"/>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项目产出类指标包括产出数量、产出质量、产出时效、产出成本四方面的内容，由</w:t>
      </w:r>
      <w:r>
        <w:rPr>
          <w:rFonts w:hint="eastAsia" w:ascii="仿宋_GB2312" w:hAnsi="仿宋_GB2312" w:eastAsia="仿宋_GB2312" w:cs="仿宋_GB2312"/>
          <w:sz w:val="32"/>
          <w:szCs w:val="32"/>
          <w:highlight w:val="none"/>
          <w:lang w:val="en-US" w:eastAsia="zh-CN"/>
        </w:rPr>
        <w:t>10个三级指标构成，权重分为40分，实际得分38分，得分率为95%。具</w:t>
      </w:r>
      <w:r>
        <w:rPr>
          <w:rFonts w:hint="eastAsia" w:ascii="仿宋_GB2312" w:hAnsi="仿宋_GB2312" w:eastAsia="仿宋_GB2312" w:cs="仿宋_GB2312"/>
          <w:sz w:val="32"/>
          <w:szCs w:val="32"/>
          <w:lang w:val="en-US" w:eastAsia="zh-CN"/>
        </w:rPr>
        <w:t>体产出指标完成情况如下：</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eastAsia="zh-CN"/>
        </w:rPr>
        <w:t>房屋修缮工程量</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2655平方米</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2655平方米，</w:t>
      </w:r>
      <w:r>
        <w:rPr>
          <w:rFonts w:hint="eastAsia" w:ascii="仿宋_GB2312" w:hAnsi="仿宋_GB2312" w:eastAsia="仿宋_GB2312" w:cs="仿宋_GB2312"/>
          <w:sz w:val="32"/>
          <w:szCs w:val="32"/>
          <w:highlight w:val="none"/>
        </w:rPr>
        <w:t xml:space="preserve">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工勤岗绩效考核奖发放人数，指标值：≥39人，实际完成值0人，指标完成率0%。偏差原因：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lang w:val="en-US" w:eastAsia="zh-CN"/>
        </w:rPr>
      </w:pPr>
      <w:r>
        <w:rPr>
          <w:rFonts w:hint="eastAsia" w:ascii="仿宋_GB2312" w:hAnsi="仿宋_GB2312" w:eastAsia="仿宋_GB2312" w:cs="仿宋_GB2312"/>
          <w:sz w:val="32"/>
          <w:szCs w:val="32"/>
          <w:highlight w:val="none"/>
          <w:lang w:val="en-US" w:eastAsia="zh-CN"/>
        </w:rPr>
        <w:t>指标3：职工食堂就餐补助人数，指标值：≥260人，实际完成值260人，指标完成率100%</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eastAsia="zh-CN"/>
        </w:rPr>
        <w:t>竣工验收合格率</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指标值1：资金发放及时率，指标值：≥90%，实际完成值：100%，指标完成率100%。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b w:val="0"/>
          <w:bCs w:val="0"/>
          <w:lang w:val="en-US" w:eastAsia="zh-CN"/>
        </w:rPr>
      </w:pPr>
      <w:r>
        <w:rPr>
          <w:rFonts w:hint="eastAsia" w:ascii="仿宋_GB2312" w:hAnsi="仿宋_GB2312" w:eastAsia="仿宋_GB2312" w:cs="仿宋_GB2312"/>
          <w:b w:val="0"/>
          <w:bCs w:val="0"/>
          <w:sz w:val="32"/>
          <w:szCs w:val="32"/>
          <w:highlight w:val="none"/>
          <w:lang w:val="en-US" w:eastAsia="zh-CN"/>
        </w:rPr>
        <w:t>指标值2：项目按时完工率，指标值：≥90%，实际完成值：100%，指标完成率100%。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1：房屋修缮资金数，指标值：≤30万元，实际完成值30万元，指标完成率100%。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2：工勤岗绩效考核奖发放资金数，指标值：≤46.5万元，实际完成值46.5万元，指标完成率100%。偏差原因：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3：职工食堂餐费资金数，指标值：≤120万元，实际完成值120万元，指标完成率100%。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4：附属设施维修维护费，指标值：≤32.5万元，实际完成值32.5万元，指标完成率100%。</w:t>
      </w:r>
    </w:p>
    <w:p>
      <w:pPr>
        <w:pStyle w:val="11"/>
        <w:pageBreakBefore w:val="0"/>
        <w:numPr>
          <w:ilvl w:val="0"/>
          <w:numId w:val="5"/>
        </w:numPr>
        <w:kinsoku/>
        <w:wordWrap/>
        <w:overflowPunct/>
        <w:topLinePunct w:val="0"/>
        <w:autoSpaceDE/>
        <w:autoSpaceDN/>
        <w:bidi w:val="0"/>
        <w:adjustRightInd/>
        <w:snapToGrid/>
        <w:spacing w:line="560" w:lineRule="exact"/>
        <w:ind w:firstLine="643"/>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项目效益类指标包括项目实施效益和满意度两方面的内容，由</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lang w:val="en-US" w:eastAsia="zh-CN"/>
        </w:rPr>
        <w:t>个三级指标构成，权重分为20分，</w:t>
      </w:r>
      <w:r>
        <w:rPr>
          <w:rFonts w:hint="eastAsia" w:ascii="仿宋_GB2312" w:hAnsi="仿宋_GB2312" w:eastAsia="仿宋_GB2312" w:cs="仿宋_GB2312"/>
          <w:sz w:val="32"/>
          <w:szCs w:val="32"/>
          <w:highlight w:val="none"/>
          <w:lang w:val="en-US" w:eastAsia="zh-CN"/>
        </w:rPr>
        <w:t>实际得分20分，得分率为100%。具体效益指标及满意度指标完成</w:t>
      </w:r>
      <w:r>
        <w:rPr>
          <w:rFonts w:hint="eastAsia" w:ascii="仿宋_GB2312" w:hAnsi="仿宋_GB2312" w:eastAsia="仿宋_GB2312" w:cs="仿宋_GB2312"/>
          <w:sz w:val="32"/>
          <w:szCs w:val="32"/>
          <w:lang w:val="en-US" w:eastAsia="zh-CN"/>
        </w:rPr>
        <w:t>情况如下：</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1：项目受益人数，指标值：≥260人，实际完成值260人，指标完成率100%。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②可持续影响指标</w:t>
      </w:r>
      <w:r>
        <w:rPr>
          <w:rFonts w:hint="eastAsia" w:ascii="仿宋_GB2312" w:hAnsi="仿宋_GB2312" w:eastAsia="仿宋_GB2312" w:cs="仿宋_GB2312"/>
          <w:sz w:val="32"/>
          <w:szCs w:val="32"/>
          <w:highlight w:val="none"/>
        </w:rPr>
        <w:t>：</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1：正常运转率，指标值：≥90%，实际完成值100%，指标完成率100%。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①满意度指标：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指标值1：职工满意度，指标值：≥90%，实际完成值95%，指标完成率100%。</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spacing w:line="600" w:lineRule="exact"/>
        <w:ind w:firstLine="800" w:firstLineChars="250"/>
        <w:jc w:val="left"/>
        <w:rPr>
          <w:rFonts w:hint="eastAsia" w:ascii="仿宋_GB2312" w:hAnsi="楷体" w:eastAsia="仿宋_GB2312" w:cs="Times New Roman"/>
          <w:bCs/>
          <w:color w:val="000000"/>
          <w:spacing w:val="-4"/>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highlight w:val="none"/>
        </w:rPr>
        <w:t>项目年初预算</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万元，全年预算</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万元，实际支出</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万元，预算执行率为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%，项目绩效指标总体完成率为</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总体</w:t>
      </w:r>
      <w:r>
        <w:rPr>
          <w:rFonts w:hint="eastAsia" w:ascii="仿宋_GB2312" w:hAnsi="仿宋_GB2312" w:eastAsia="仿宋_GB2312" w:cs="仿宋_GB2312"/>
          <w:sz w:val="32"/>
          <w:szCs w:val="32"/>
          <w:highlight w:val="none"/>
        </w:rPr>
        <w:t>偏差率为</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偏差</w:t>
      </w:r>
      <w:r>
        <w:rPr>
          <w:rFonts w:hint="eastAsia" w:ascii="仿宋_GB2312" w:hAnsi="仿宋_GB2312" w:eastAsia="仿宋_GB2312" w:cs="仿宋_GB2312"/>
          <w:sz w:val="32"/>
          <w:szCs w:val="32"/>
          <w:highlight w:val="none"/>
        </w:rPr>
        <w:t>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改进</w:t>
      </w:r>
      <w:r>
        <w:rPr>
          <w:rFonts w:hint="eastAsia" w:eastAsia="方正仿宋_GBK" w:cs="方正仿宋_GBK"/>
          <w:sz w:val="32"/>
          <w:szCs w:val="32"/>
          <w:highlight w:val="none"/>
        </w:rPr>
        <w:t>措施</w:t>
      </w:r>
      <w:r>
        <w:rPr>
          <w:rFonts w:hint="eastAsia" w:eastAsia="方正仿宋_GBK" w:cs="方正仿宋_GBK"/>
          <w:sz w:val="32"/>
          <w:szCs w:val="32"/>
          <w:highlight w:val="none"/>
          <w:lang w:eastAsia="zh-CN"/>
        </w:rPr>
        <w:t>：</w:t>
      </w:r>
      <w:r>
        <w:rPr>
          <w:rFonts w:hint="eastAsia" w:ascii="仿宋_GB2312" w:hAnsi="楷体" w:eastAsia="仿宋_GB2312" w:cs="Times New Roman"/>
          <w:bCs/>
          <w:color w:val="000000"/>
          <w:spacing w:val="-4"/>
          <w:kern w:val="2"/>
          <w:sz w:val="32"/>
          <w:szCs w:val="32"/>
          <w:highlight w:val="none"/>
          <w:lang w:val="en-US" w:eastAsia="zh-CN" w:bidi="ar-SA"/>
        </w:rPr>
        <w:t>细化预算编制工作，认真做好预算的编制。进一步加强单位内部机构各柯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ageBreakBefore w:val="0"/>
        <w:kinsoku/>
        <w:wordWrap/>
        <w:overflowPunct/>
        <w:topLinePunct w:val="0"/>
        <w:autoSpaceDE/>
        <w:autoSpaceDN/>
        <w:bidi w:val="0"/>
        <w:adjustRightInd/>
        <w:snapToGrid/>
        <w:spacing w:line="560" w:lineRule="exact"/>
        <w:ind w:firstLine="640" w:firstLineChars="200"/>
        <w:textAlignment w:val="auto"/>
        <w:rPr>
          <w:rStyle w:val="17"/>
          <w:rFonts w:ascii="Times New Roman" w:hAnsi="Times New Roman" w:cs="Times New Roman"/>
          <w:color w:val="auto"/>
        </w:rPr>
      </w:pPr>
      <w:r>
        <w:rPr>
          <w:rFonts w:hint="eastAsia" w:eastAsia="黑体"/>
          <w:sz w:val="32"/>
          <w:szCs w:val="32"/>
          <w:lang w:eastAsia="zh-Hans"/>
        </w:rPr>
        <w:t>六</w:t>
      </w:r>
      <w:r>
        <w:rPr>
          <w:rFonts w:eastAsia="黑体"/>
          <w:sz w:val="32"/>
          <w:szCs w:val="32"/>
        </w:rPr>
        <w:t>、主要经验及做法、存在的问题及原因分析</w:t>
      </w:r>
    </w:p>
    <w:p>
      <w:pPr>
        <w:pageBreakBefore w:val="0"/>
        <w:kinsoku/>
        <w:wordWrap/>
        <w:overflowPunct/>
        <w:topLinePunct w:val="0"/>
        <w:autoSpaceDE/>
        <w:autoSpaceDN/>
        <w:bidi w:val="0"/>
        <w:adjustRightInd/>
        <w:snapToGrid/>
        <w:spacing w:line="560" w:lineRule="exact"/>
        <w:ind w:firstLine="627" w:firstLineChars="200"/>
        <w:textAlignment w:val="auto"/>
        <w:rPr>
          <w:rFonts w:eastAsia="楷体"/>
          <w:b/>
          <w:spacing w:val="-4"/>
          <w:sz w:val="32"/>
          <w:szCs w:val="32"/>
        </w:rPr>
      </w:pPr>
      <w:r>
        <w:rPr>
          <w:rFonts w:eastAsia="楷体"/>
          <w:b/>
          <w:spacing w:val="-4"/>
          <w:sz w:val="32"/>
          <w:szCs w:val="32"/>
        </w:rPr>
        <w:t>（一）主要经验及做法</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pageBreakBefore w:val="0"/>
        <w:kinsoku/>
        <w:wordWrap/>
        <w:overflowPunct/>
        <w:topLinePunct w:val="0"/>
        <w:autoSpaceDE/>
        <w:autoSpaceDN/>
        <w:bidi w:val="0"/>
        <w:adjustRightInd/>
        <w:snapToGrid/>
        <w:spacing w:before="0" w:after="0" w:line="560" w:lineRule="exact"/>
        <w:ind w:firstLine="640" w:firstLineChars="200"/>
        <w:jc w:val="left"/>
        <w:textAlignment w:val="auto"/>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pageBreakBefore w:val="0"/>
        <w:numPr>
          <w:ilvl w:val="0"/>
          <w:numId w:val="6"/>
        </w:numPr>
        <w:kinsoku/>
        <w:wordWrap/>
        <w:overflowPunct/>
        <w:topLinePunct w:val="0"/>
        <w:autoSpaceDE/>
        <w:autoSpaceDN/>
        <w:bidi w:val="0"/>
        <w:adjustRightInd/>
        <w:snapToGrid/>
        <w:spacing w:line="560" w:lineRule="exact"/>
        <w:ind w:firstLine="643" w:firstLineChars="200"/>
        <w:textAlignment w:val="auto"/>
        <w:rPr>
          <w:rFonts w:eastAsia="楷体_GB2312"/>
          <w:b/>
          <w:bCs/>
          <w:sz w:val="32"/>
          <w:szCs w:val="32"/>
        </w:rPr>
      </w:pPr>
      <w:r>
        <w:rPr>
          <w:rFonts w:eastAsia="楷体_GB2312"/>
          <w:b/>
          <w:bCs/>
          <w:sz w:val="32"/>
          <w:szCs w:val="32"/>
        </w:rPr>
        <w:t>存在的问题及原因分析</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600" w:lineRule="exact"/>
        <w:ind w:firstLine="624" w:firstLineChars="200"/>
        <w:jc w:val="left"/>
        <w:rPr>
          <w:rFonts w:hint="eastAsia" w:ascii="仿宋_GB2312" w:hAnsi="楷体" w:eastAsia="仿宋_GB2312" w:cs="Times New Roman"/>
          <w:bCs/>
          <w:color w:val="000000"/>
          <w:spacing w:val="-4"/>
          <w:kern w:val="2"/>
          <w:sz w:val="32"/>
          <w:szCs w:val="32"/>
          <w:lang w:val="en-US" w:eastAsia="zh-CN" w:bidi="ar-SA"/>
        </w:rPr>
      </w:pPr>
      <w:r>
        <w:rPr>
          <w:rFonts w:hint="eastAsia" w:ascii="仿宋_GB2312" w:hAnsi="楷体" w:eastAsia="仿宋_GB2312" w:cs="Times New Roman"/>
          <w:bCs/>
          <w:color w:val="000000"/>
          <w:spacing w:val="-4"/>
          <w:kern w:val="2"/>
          <w:sz w:val="32"/>
          <w:szCs w:val="32"/>
          <w:lang w:val="en-US" w:eastAsia="zh-CN" w:bidi="ar-SA"/>
        </w:rPr>
        <w:t>2.年度预算编制工作有待进一步细化。预算编制不够明确和细化，预算编制的合理性需要加强，预算执行力度还要进一步提高。</w:t>
      </w:r>
    </w:p>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Hans"/>
        </w:rPr>
        <w:t>七、</w:t>
      </w:r>
      <w:r>
        <w:rPr>
          <w:rFonts w:eastAsia="黑体"/>
          <w:sz w:val="32"/>
          <w:szCs w:val="32"/>
        </w:rPr>
        <w:t>有关建议</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sz w:val="22"/>
          <w:szCs w:val="28"/>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进一步加强对绩效管理工作的组织领导，提高对预算绩效管理工作重要性的认识，总结经验查找问题，抓紧研究制定更全面更完善的绩效评价管理办法。结合食品安全考核建立绩效工作考核制度，加大全局对全面实施预算绩效管理和绩效管理工作的学习力度，让“花钱必问效，无效必问责”的理念深入工作每个环节。</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6" w:name="page8"/>
      <w:bookmarkEnd w:id="6"/>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widowControl/>
        <w:jc w:val="both"/>
        <w:textAlignment w:val="center"/>
        <w:rPr>
          <w:rFonts w:eastAsia="方正小标宋简体"/>
          <w:b/>
          <w:kern w:val="0"/>
          <w:sz w:val="32"/>
          <w:szCs w:val="32"/>
          <w:lang w:bidi="ar"/>
        </w:rPr>
        <w:sectPr>
          <w:pgSz w:w="11906" w:h="16838"/>
          <w:pgMar w:top="1440" w:right="1587" w:bottom="1440" w:left="1587" w:header="851" w:footer="992" w:gutter="0"/>
          <w:cols w:space="425" w:num="1"/>
          <w:docGrid w:type="lines" w:linePitch="312" w:charSpace="0"/>
        </w:sectPr>
      </w:pPr>
    </w:p>
    <w:tbl>
      <w:tblPr>
        <w:tblStyle w:val="13"/>
        <w:tblW w:w="8834" w:type="dxa"/>
        <w:tblInd w:w="0" w:type="dxa"/>
        <w:tblLayout w:type="fixed"/>
        <w:tblCellMar>
          <w:top w:w="0" w:type="dxa"/>
          <w:left w:w="0" w:type="dxa"/>
          <w:bottom w:w="0" w:type="dxa"/>
          <w:right w:w="0" w:type="dxa"/>
        </w:tblCellMar>
      </w:tblPr>
      <w:tblGrid>
        <w:gridCol w:w="798"/>
        <w:gridCol w:w="984"/>
        <w:gridCol w:w="1430"/>
        <w:gridCol w:w="1523"/>
        <w:gridCol w:w="1268"/>
        <w:gridCol w:w="1068"/>
        <w:gridCol w:w="1763"/>
      </w:tblGrid>
      <w:tr>
        <w:tblPrEx>
          <w:tblCellMar>
            <w:top w:w="0" w:type="dxa"/>
            <w:left w:w="0" w:type="dxa"/>
            <w:bottom w:w="0" w:type="dxa"/>
            <w:right w:w="0" w:type="dxa"/>
          </w:tblCellMar>
        </w:tblPrEx>
        <w:trPr>
          <w:trHeight w:val="420" w:hRule="atLeast"/>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eastAsia="方正小标宋简体"/>
                <w:b/>
                <w:sz w:val="32"/>
                <w:szCs w:val="32"/>
                <w:u w:val="single"/>
              </w:rPr>
            </w:pPr>
            <w:r>
              <w:rPr>
                <w:rFonts w:eastAsia="方正小标宋简体"/>
                <w:b/>
                <w:kern w:val="0"/>
                <w:sz w:val="32"/>
                <w:szCs w:val="32"/>
                <w:lang w:bidi="ar"/>
              </w:rPr>
              <w:t>项目支出绩效自评表</w:t>
            </w:r>
          </w:p>
        </w:tc>
      </w:tr>
      <w:tr>
        <w:tblPrEx>
          <w:tblCellMar>
            <w:top w:w="0" w:type="dxa"/>
            <w:left w:w="0" w:type="dxa"/>
            <w:bottom w:w="0" w:type="dxa"/>
            <w:right w:w="0" w:type="dxa"/>
          </w:tblCellMar>
        </w:tblPrEx>
        <w:trPr>
          <w:trHeight w:val="288" w:hRule="atLeast"/>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22"/>
                <w:szCs w:val="22"/>
              </w:rPr>
            </w:pPr>
            <w:r>
              <w:rPr>
                <w:kern w:val="0"/>
                <w:sz w:val="22"/>
                <w:szCs w:val="22"/>
                <w:lang w:bidi="ar"/>
              </w:rPr>
              <w:t>（2022年度）</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792"/>
              </w:tabs>
              <w:jc w:val="left"/>
              <w:textAlignment w:val="center"/>
              <w:rPr>
                <w:rFonts w:hint="eastAsia" w:eastAsia="宋体"/>
                <w:sz w:val="18"/>
                <w:szCs w:val="18"/>
                <w:lang w:eastAsia="zh-CN"/>
              </w:rPr>
            </w:pPr>
            <w:r>
              <w:rPr>
                <w:rFonts w:hint="eastAsia"/>
                <w:sz w:val="18"/>
                <w:szCs w:val="18"/>
                <w:lang w:eastAsia="zh-CN"/>
              </w:rPr>
              <w:tab/>
            </w:r>
            <w:r>
              <w:rPr>
                <w:rFonts w:hint="eastAsia"/>
                <w:sz w:val="18"/>
                <w:szCs w:val="18"/>
                <w:lang w:eastAsia="zh-CN"/>
              </w:rPr>
              <w:t>机关运行成本性支出</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主管部门</w:t>
            </w:r>
          </w:p>
        </w:tc>
        <w:tc>
          <w:tcPr>
            <w:tcW w:w="422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sz w:val="18"/>
                <w:szCs w:val="18"/>
                <w:lang w:eastAsia="zh-CN"/>
              </w:rPr>
            </w:pPr>
            <w:r>
              <w:rPr>
                <w:rFonts w:hint="eastAsia"/>
                <w:sz w:val="18"/>
                <w:szCs w:val="18"/>
                <w:lang w:eastAsia="zh-CN"/>
              </w:rPr>
              <w:t>新疆维吾尔自治区自治区文化和旅游厅</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实施单位</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eastAsia="zh-CN"/>
              </w:rPr>
            </w:pPr>
            <w:r>
              <w:rPr>
                <w:rFonts w:hint="eastAsia"/>
                <w:sz w:val="18"/>
                <w:szCs w:val="18"/>
                <w:lang w:eastAsia="zh-CN"/>
              </w:rPr>
              <w:t>新疆维吾尔自治区文化和旅游厅机关服务中心</w:t>
            </w:r>
          </w:p>
        </w:tc>
      </w:tr>
      <w:tr>
        <w:tblPrEx>
          <w:tblCellMar>
            <w:top w:w="0" w:type="dxa"/>
            <w:left w:w="0" w:type="dxa"/>
            <w:bottom w:w="0" w:type="dxa"/>
            <w:right w:w="0" w:type="dxa"/>
          </w:tblCellMar>
        </w:tblPrEx>
        <w:trPr>
          <w:trHeight w:val="276"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项目资金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全年预算数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全年执行数</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执行率</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kern w:val="0"/>
                <w:sz w:val="18"/>
                <w:szCs w:val="18"/>
                <w:lang w:bidi="ar"/>
              </w:rPr>
              <w:t>年度资金总额</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229</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229</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229</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其中：当年财政拨款</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229</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229</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上年结转资金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val="en-US" w:eastAsia="zh-CN"/>
              </w:rPr>
            </w:pPr>
            <w:r>
              <w:rPr>
                <w:rFonts w:hint="eastAsia"/>
                <w:sz w:val="18"/>
                <w:szCs w:val="1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val="en-US" w:eastAsia="zh-CN"/>
              </w:rPr>
            </w:pPr>
            <w:r>
              <w:rPr>
                <w:rFonts w:hint="eastAsia"/>
                <w:sz w:val="18"/>
                <w:szCs w:val="18"/>
                <w:lang w:val="en-US" w:eastAsia="zh-CN"/>
              </w:rPr>
              <w:t>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 xml:space="preserve">  其他资金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val="en-US" w:eastAsia="zh-CN"/>
              </w:rPr>
            </w:pPr>
            <w:r>
              <w:rPr>
                <w:rFonts w:hint="eastAsia"/>
                <w:sz w:val="18"/>
                <w:szCs w:val="1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val="en-US" w:eastAsia="zh-CN"/>
              </w:rPr>
            </w:pPr>
            <w:r>
              <w:rPr>
                <w:rFonts w:hint="eastAsia"/>
                <w:sz w:val="18"/>
                <w:szCs w:val="18"/>
                <w:lang w:val="en-US" w:eastAsia="zh-CN"/>
              </w:rPr>
              <w:t>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年度总体目标</w:t>
            </w: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预期目标</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rStyle w:val="15"/>
                <w:rFonts w:hint="eastAsia" w:ascii="仿宋_GB2312" w:hAnsi="仿宋_GB2312" w:eastAsia="仿宋_GB2312" w:cs="仿宋_GB2312"/>
                <w:b w:val="0"/>
                <w:bCs/>
                <w:spacing w:val="-4"/>
                <w:sz w:val="22"/>
                <w:szCs w:val="22"/>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eastAsia="宋体"/>
                <w:sz w:val="18"/>
                <w:szCs w:val="18"/>
                <w:lang w:val="en-US" w:eastAsia="zh-CN"/>
              </w:rPr>
            </w:pPr>
            <w:r>
              <w:rPr>
                <w:rFonts w:hint="eastAsia"/>
                <w:sz w:val="18"/>
                <w:szCs w:val="18"/>
                <w:lang w:val="en-US" w:eastAsia="zh-CN"/>
              </w:rPr>
              <w:t>2022年度预期目标已全部完成，项目资金229万元，主要用于厅机关房屋设施维护共计2655平方米，支付厅机关聘用人员工资、厅办公楼维修维护、职工一区二区食堂维护费支出。</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一级指标</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二级指标</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年度指标值</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实际完成值</w:t>
            </w:r>
          </w:p>
        </w:tc>
        <w:tc>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产出指标</w:t>
            </w: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kern w:val="0"/>
                <w:sz w:val="18"/>
                <w:szCs w:val="18"/>
                <w:lang w:eastAsia="zh-CN" w:bidi="ar"/>
              </w:rPr>
              <w:t>房屋修缮工程量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2655平方米</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2655平方米</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53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eastAsia="宋体"/>
                <w:sz w:val="18"/>
                <w:szCs w:val="18"/>
                <w:lang w:eastAsia="zh-CN"/>
              </w:rPr>
            </w:pPr>
            <w:r>
              <w:rPr>
                <w:rFonts w:hint="eastAsia"/>
                <w:sz w:val="18"/>
                <w:szCs w:val="18"/>
                <w:lang w:eastAsia="zh-CN"/>
              </w:rPr>
              <w:t>工勤岗绩效考核奖发放人数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39人</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ascii="仿宋_GB2312" w:hAnsi="仿宋_GB2312" w:eastAsia="仿宋_GB2312" w:cs="仿宋_GB2312"/>
                <w:sz w:val="13"/>
                <w:szCs w:val="13"/>
                <w:highlight w:val="none"/>
                <w:lang w:val="en-US" w:eastAsia="zh-CN"/>
              </w:rPr>
              <w:t>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eastAsia="宋体"/>
                <w:sz w:val="18"/>
                <w:szCs w:val="18"/>
                <w:lang w:eastAsia="zh-CN"/>
              </w:rPr>
            </w:pPr>
            <w:r>
              <w:rPr>
                <w:rFonts w:hint="eastAsia"/>
                <w:sz w:val="18"/>
                <w:szCs w:val="18"/>
                <w:lang w:eastAsia="zh-CN"/>
              </w:rPr>
              <w:t>职工食堂就餐补助人数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rPr>
              <w:t>260人</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260人</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质量指标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竣工验收合格率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rPr>
              <w:t>95%</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资金发放及时率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rPr>
              <w:t>90%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项目按时完工率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rPr>
              <w:t>90%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房屋修缮资金数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30万元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30万元</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工勤岗绩效考核奖发放资金数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lang w:val="en-US" w:eastAsia="zh-CN"/>
              </w:rPr>
              <w:t>46.5万元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46.5万元</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职工食堂餐费资金数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lang w:val="en-US" w:eastAsia="zh-CN"/>
              </w:rPr>
              <w:t>120万元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120万元</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附属设施维修维护费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eastAsia="zh-CN"/>
              </w:rPr>
              <w:t>≤</w:t>
            </w:r>
            <w:r>
              <w:rPr>
                <w:rFonts w:hint="eastAsia"/>
                <w:sz w:val="18"/>
                <w:szCs w:val="18"/>
                <w:lang w:val="en-US" w:eastAsia="zh-CN"/>
              </w:rPr>
              <w:t>32.5万元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32.5万元</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sz w:val="18"/>
                <w:szCs w:val="18"/>
              </w:rPr>
              <w:t>社会效益指标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eastAsia="宋体"/>
                <w:sz w:val="18"/>
                <w:szCs w:val="18"/>
                <w:lang w:eastAsia="zh-CN"/>
              </w:rPr>
            </w:pPr>
            <w:r>
              <w:rPr>
                <w:rFonts w:hint="eastAsia"/>
                <w:sz w:val="18"/>
                <w:szCs w:val="18"/>
                <w:lang w:eastAsia="zh-CN"/>
              </w:rPr>
              <w:t>项目受益人数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260人</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260人</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可持续影响指标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eastAsia="宋体"/>
                <w:sz w:val="18"/>
                <w:szCs w:val="18"/>
                <w:lang w:eastAsia="zh-CN"/>
              </w:rPr>
            </w:pPr>
            <w:r>
              <w:rPr>
                <w:rFonts w:hint="eastAsia"/>
                <w:sz w:val="18"/>
                <w:szCs w:val="18"/>
                <w:lang w:eastAsia="zh-CN"/>
              </w:rPr>
              <w:t>正常运转率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90%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满意度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服务对象满意度指标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eastAsia="宋体"/>
                <w:sz w:val="18"/>
                <w:szCs w:val="18"/>
                <w:lang w:eastAsia="zh-CN"/>
              </w:rPr>
            </w:pPr>
            <w:r>
              <w:rPr>
                <w:rFonts w:hint="eastAsia"/>
                <w:sz w:val="18"/>
                <w:szCs w:val="18"/>
                <w:lang w:eastAsia="zh-CN"/>
              </w:rPr>
              <w:t>职工满意度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eastAsia="zh-CN"/>
              </w:rPr>
              <w:t>≥</w:t>
            </w:r>
            <w:r>
              <w:rPr>
                <w:rFonts w:hint="eastAsia"/>
                <w:sz w:val="18"/>
                <w:szCs w:val="18"/>
                <w:lang w:val="en-US" w:eastAsia="zh-CN"/>
              </w:rPr>
              <w:t>95%</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bl>
    <w:p>
      <w:pPr>
        <w:pStyle w:val="2"/>
        <w:jc w:val="both"/>
        <w:rPr>
          <w:rFonts w:ascii="Times New Roman" w:hAnsi="Times New Roman" w:eastAsia="黑体"/>
          <w:b w:val="0"/>
          <w:bCs w:val="0"/>
        </w:rPr>
      </w:pPr>
    </w:p>
    <w:p>
      <w:pPr>
        <w:pStyle w:val="2"/>
        <w:rPr>
          <w:rFonts w:ascii="Times New Roman" w:hAnsi="Times New Roman" w:eastAsia="黑体"/>
          <w:b w:val="0"/>
          <w:bCs w:val="0"/>
        </w:rPr>
      </w:pPr>
    </w:p>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7" w:name="_Toc26499_WPSOffice_Level2"/>
      <w:bookmarkStart w:id="8" w:name="_Toc30064_WPSOffice_Level1"/>
      <w:r>
        <w:rPr>
          <w:rFonts w:hint="eastAsia"/>
          <w:b/>
          <w:bCs/>
          <w:sz w:val="28"/>
          <w:szCs w:val="40"/>
          <w:highlight w:val="yellow"/>
          <w:lang w:val="en-US" w:eastAsia="zh-CN"/>
        </w:rPr>
        <w:t>机关运行成本性支出</w:t>
      </w:r>
      <w:r>
        <w:rPr>
          <w:rFonts w:hint="eastAsia"/>
          <w:b/>
          <w:bCs/>
          <w:sz w:val="28"/>
          <w:szCs w:val="40"/>
          <w:highlight w:val="yellow"/>
        </w:rPr>
        <w:t>项目</w:t>
      </w:r>
      <w:r>
        <w:rPr>
          <w:rFonts w:hint="eastAsia"/>
          <w:b/>
          <w:bCs/>
          <w:sz w:val="28"/>
          <w:szCs w:val="40"/>
        </w:rPr>
        <w:t>绩效评价指标体系及综合评分表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764"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87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235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5198"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36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yellow"/>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yellow"/>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yellow"/>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yellow"/>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2353" w:type="dxa"/>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yellow"/>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yellow"/>
                <w:lang w:val="en-US" w:eastAsia="zh-CN"/>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F08D23-0CD2-491A-AE2D-A2B0E009E2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FA483F5-12F8-4053-94E0-9A6F88A94C81}"/>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08325D87-8968-49A1-96C1-36EE9D16796E}"/>
  </w:font>
  <w:font w:name="华文中宋">
    <w:altName w:val="宋体"/>
    <w:panose1 w:val="02010600040101010101"/>
    <w:charset w:val="86"/>
    <w:family w:val="auto"/>
    <w:pitch w:val="default"/>
    <w:sig w:usb0="00000000" w:usb1="00000000" w:usb2="00000000" w:usb3="00000000" w:csb0="0004009F" w:csb1="DFD70000"/>
    <w:embedRegular r:id="rId4" w:fontKey="{A025694C-7B39-4957-8BAF-141BFDEC6109}"/>
  </w:font>
  <w:font w:name="方正小标宋_GBK">
    <w:panose1 w:val="02000000000000000000"/>
    <w:charset w:val="86"/>
    <w:family w:val="script"/>
    <w:pitch w:val="default"/>
    <w:sig w:usb0="A00002BF" w:usb1="38CF7CFA" w:usb2="00082016" w:usb3="00000000" w:csb0="00040001" w:csb1="00000000"/>
    <w:embedRegular r:id="rId5" w:fontKey="{1332C10D-BE4D-43F8-96BD-AACAF3D53C42}"/>
  </w:font>
  <w:font w:name="楷体_GB2312">
    <w:altName w:val="楷体"/>
    <w:panose1 w:val="00000000000000000000"/>
    <w:charset w:val="86"/>
    <w:family w:val="auto"/>
    <w:pitch w:val="default"/>
    <w:sig w:usb0="00000000" w:usb1="00000000" w:usb2="00000000" w:usb3="00000000" w:csb0="00040000" w:csb1="00000000"/>
    <w:embedRegular r:id="rId6" w:fontKey="{D55236FF-C970-4CD2-8892-D49BD3BC9122}"/>
  </w:font>
  <w:font w:name="方正仿宋_GBK">
    <w:panose1 w:val="02000000000000000000"/>
    <w:charset w:val="86"/>
    <w:family w:val="auto"/>
    <w:pitch w:val="default"/>
    <w:sig w:usb0="A00002BF" w:usb1="38CF7CFA" w:usb2="00082016" w:usb3="00000000" w:csb0="00040001" w:csb1="00000000"/>
    <w:embedRegular r:id="rId7" w:fontKey="{AEA648DC-386E-4BEA-A3FC-CBF75C41069F}"/>
  </w:font>
  <w:font w:name="楷体">
    <w:panose1 w:val="02010609060101010101"/>
    <w:charset w:val="86"/>
    <w:family w:val="modern"/>
    <w:pitch w:val="default"/>
    <w:sig w:usb0="800002BF" w:usb1="38CF7CFA" w:usb2="00000016" w:usb3="00000000" w:csb0="00040001" w:csb1="00000000"/>
    <w:embedRegular r:id="rId8" w:fontKey="{98A07203-4263-487A-9FC4-22C58523E90E}"/>
  </w:font>
  <w:font w:name="方正小标宋简体">
    <w:altName w:val="仿宋_GB2312"/>
    <w:panose1 w:val="03000509000000000000"/>
    <w:charset w:val="86"/>
    <w:family w:val="auto"/>
    <w:pitch w:val="default"/>
    <w:sig w:usb0="00000000" w:usb1="00000000" w:usb2="00000000" w:usb3="00000000" w:csb0="00040000" w:csb1="00000000"/>
    <w:embedRegular r:id="rId9" w:fontKey="{0A938089-6378-46CB-9DF5-A6CEAE8286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116B29BF"/>
    <w:multiLevelType w:val="singleLevel"/>
    <w:tmpl w:val="116B29BF"/>
    <w:lvl w:ilvl="0" w:tentative="0">
      <w:start w:val="3"/>
      <w:numFmt w:val="chineseCounting"/>
      <w:suff w:val="nothing"/>
      <w:lvlText w:val="%1、"/>
      <w:lvlJc w:val="left"/>
      <w:rPr>
        <w:rFonts w:hint="eastAsia"/>
      </w:rPr>
    </w:lvl>
  </w:abstractNum>
  <w:abstractNum w:abstractNumId="4">
    <w:nsid w:val="27813159"/>
    <w:multiLevelType w:val="singleLevel"/>
    <w:tmpl w:val="27813159"/>
    <w:lvl w:ilvl="0" w:tentative="0">
      <w:start w:val="3"/>
      <w:numFmt w:val="chineseCounting"/>
      <w:suff w:val="nothing"/>
      <w:lvlText w:val="（%1）"/>
      <w:lvlJc w:val="left"/>
      <w:rPr>
        <w:rFonts w:hint="eastAsia"/>
      </w:rPr>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7397B77"/>
    <w:rsid w:val="08CB57AE"/>
    <w:rsid w:val="13471461"/>
    <w:rsid w:val="13B90F01"/>
    <w:rsid w:val="181066D2"/>
    <w:rsid w:val="1C671E73"/>
    <w:rsid w:val="28937E80"/>
    <w:rsid w:val="2FA6055E"/>
    <w:rsid w:val="38CA40DD"/>
    <w:rsid w:val="395F2B56"/>
    <w:rsid w:val="3BECE841"/>
    <w:rsid w:val="3FF7797D"/>
    <w:rsid w:val="426016A7"/>
    <w:rsid w:val="4923593A"/>
    <w:rsid w:val="4EF15B82"/>
    <w:rsid w:val="5BFF6039"/>
    <w:rsid w:val="5D76A616"/>
    <w:rsid w:val="5D7C2D84"/>
    <w:rsid w:val="5D7F20B9"/>
    <w:rsid w:val="5DAC7D0E"/>
    <w:rsid w:val="5F98B5AF"/>
    <w:rsid w:val="5FFE8511"/>
    <w:rsid w:val="5FFEACE2"/>
    <w:rsid w:val="643EE26D"/>
    <w:rsid w:val="6F5C41AC"/>
    <w:rsid w:val="6FAF6C78"/>
    <w:rsid w:val="7317C656"/>
    <w:rsid w:val="734ED73F"/>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10309</Words>
  <Characters>10729</Characters>
  <Lines>58</Lines>
  <Paragraphs>16</Paragraphs>
  <TotalTime>12</TotalTime>
  <ScaleCrop>false</ScaleCrop>
  <LinksUpToDate>false</LinksUpToDate>
  <CharactersWithSpaces>10751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2023-04-10T08:41:22Z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DEB37354E36D40D48F20A3DAB18895C3</vt:lpwstr>
  </property>
</Properties>
</file>