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首届自治区乡村文化和旅游能人支持项目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拟入选人员名单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.屈永红，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伊犁州新源县那边文化创意有限公司法人。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.古努·阿里根，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伊犁州伊宁市古拜合石沙画工作室法人。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.周运盛，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乌鲁木齐市米东区</w:t>
      </w:r>
      <w:r>
        <w:rPr>
          <w:rFonts w:hint="eastAsia" w:ascii="仿宋_GB2312" w:hAnsi="仿宋_GB2312" w:eastAsia="仿宋_GB2312" w:cs="仿宋_GB2312"/>
          <w:sz w:val="32"/>
          <w:szCs w:val="32"/>
        </w:rPr>
        <w:t>混疆四季家庭农场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潘永超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哈密市鑫栎祥农业发展有限公司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刘秉政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吐鲁番市高昌区蓝庭旅舍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.艾合买提·吾甫尔，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巴州尉犁县塔里木乡琼库勒村尉犁艾合买提特产店负责人。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.胡立志，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巴州和静县嘉敏古镇部落（新疆）文化旅游发展有限公司董事长。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.孙国光，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阿克苏地区温宿县塔格拉克村聚鸿山庄法人。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.王林，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阿克苏地区沙雅县塔里木乡月亮湾景区董事长。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.艾孜亥尔·艾合买提，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阿克苏地区阿瓦提县新疆舞魅文化艺术服务有限公司创始人。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.布威再乃普罕·阿力木江，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和田地区策勒县花甜味农家乐法人。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万金亮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和田地区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新袖田园旅游开发有限公司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.阿布地位力·阿布地卡地尔，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和田地区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洛浦县民间艺人演出团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.韩乐，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昌吉州奇台县新疆丰驿文化旅游发展有限公司法人。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范晓峰，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昌吉州呼图壁县国家级苗木交易市场股份有限公司董事长。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.张琳，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昌吉州吉木萨尔县俊发生态旅游有限责任公司总经理。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.李瑞萍，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塔城地区乌苏市北京东路邮政支局营业员。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库丽那尔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博州</w:t>
      </w:r>
      <w:r>
        <w:rPr>
          <w:rFonts w:hint="eastAsia" w:ascii="仿宋_GB2312" w:hAnsi="仿宋_GB2312" w:eastAsia="仿宋_GB2312" w:cs="仿宋_GB2312"/>
          <w:sz w:val="32"/>
          <w:szCs w:val="32"/>
        </w:rPr>
        <w:t>精河县八家户农场文化站副站长、工会副主席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.阿布都卡的·阿布都热西提坎，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喀什地区喀什市巴合热克音乐度假院法人。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right="0" w:firstLine="643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0"/>
          <w:positio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position w:val="0"/>
          <w:sz w:val="32"/>
          <w:szCs w:val="32"/>
          <w:highlight w:val="none"/>
          <w:lang w:val="en-US" w:eastAsia="zh-CN"/>
        </w:rPr>
        <w:t>20.阿力木·乌斯曼，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32"/>
          <w:szCs w:val="32"/>
          <w:highlight w:val="none"/>
          <w:lang w:val="en-US" w:eastAsia="zh-CN"/>
        </w:rPr>
        <w:t>阿克苏地区阿克苏市阿丽木雕手工艺品制作有限公司董事长。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sz w:val="32"/>
          <w:szCs w:val="32"/>
        </w:rPr>
      </w:pPr>
    </w:p>
    <w:sectPr>
      <w:pgSz w:w="11906" w:h="16838"/>
      <w:pgMar w:top="1701" w:right="1474" w:bottom="1701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WMzNjIwOGMzMGQwYzFmODc0YjUzYzI1OGYxZjAifQ=="/>
  </w:docVars>
  <w:rsids>
    <w:rsidRoot w:val="24560FA9"/>
    <w:rsid w:val="04313E07"/>
    <w:rsid w:val="07027CB2"/>
    <w:rsid w:val="24560FA9"/>
    <w:rsid w:val="2B3758CC"/>
    <w:rsid w:val="46690BD8"/>
    <w:rsid w:val="55BE25C3"/>
    <w:rsid w:val="6EA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 w:line="600" w:lineRule="exact"/>
      <w:ind w:firstLine="200" w:firstLineChars="200"/>
      <w:jc w:val="left"/>
    </w:pPr>
    <w:rPr>
      <w:rFonts w:eastAsia="仿宋_GB2312"/>
      <w:sz w:val="32"/>
    </w:rPr>
  </w:style>
  <w:style w:type="paragraph" w:styleId="3">
    <w:name w:val="Body Text"/>
    <w:basedOn w:val="1"/>
    <w:next w:val="4"/>
    <w:unhideWhenUsed/>
    <w:uiPriority w:val="0"/>
    <w:pPr>
      <w:adjustRightInd w:val="0"/>
      <w:jc w:val="left"/>
    </w:pPr>
    <w:rPr>
      <w:rFonts w:ascii="Times New Roman" w:hAnsi="Times New Roman"/>
      <w:szCs w:val="20"/>
    </w:rPr>
  </w:style>
  <w:style w:type="paragraph" w:customStyle="1" w:styleId="4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628</Characters>
  <Lines>0</Lines>
  <Paragraphs>0</Paragraphs>
  <TotalTime>1</TotalTime>
  <ScaleCrop>false</ScaleCrop>
  <LinksUpToDate>false</LinksUpToDate>
  <CharactersWithSpaces>628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2022-10-29T10:21:00Z</dcterms:created>
  <dc:creator>帕孜来提</dc:creator>
  <cp:lastModifiedBy>帕孜来提</cp:lastModifiedBy>
  <dcterms:modified xsi:type="dcterms:W3CDTF">2022-10-29T10:30:02Z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7148A6181A72477886CA17E29647C93E</vt:lpwstr>
  </property>
</Properties>
</file>