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p>
    <w:p>
      <w:pPr>
        <w:spacing w:line="540" w:lineRule="exact"/>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lang w:val="en-US" w:eastAsia="zh-CN"/>
        </w:rPr>
        <w:t>自治区本级政府购买演出</w:t>
      </w:r>
      <w:r>
        <w:rPr>
          <w:rFonts w:eastAsia="方正小标宋_GBK"/>
          <w:kern w:val="0"/>
          <w:sz w:val="48"/>
          <w:szCs w:val="48"/>
        </w:rPr>
        <w:t>资金项目支出绩效评价</w:t>
      </w:r>
    </w:p>
    <w:p>
      <w:pPr>
        <w:spacing w:line="540" w:lineRule="exact"/>
        <w:jc w:val="center"/>
        <w:rPr>
          <w:rFonts w:eastAsia="方正小标宋_GBK"/>
          <w:kern w:val="0"/>
          <w:sz w:val="48"/>
          <w:szCs w:val="48"/>
        </w:rPr>
      </w:pPr>
      <w:r>
        <w:rPr>
          <w:rFonts w:eastAsia="方正小标宋_GBK"/>
          <w:kern w:val="0"/>
          <w:sz w:val="48"/>
          <w:szCs w:val="48"/>
        </w:rPr>
        <w:t>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kern w:val="0"/>
          <w:sz w:val="36"/>
          <w:szCs w:val="36"/>
        </w:rPr>
        <w:t>（ 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ind w:firstLine="1440" w:firstLineChars="400"/>
        <w:jc w:val="left"/>
        <w:rPr>
          <w:rFonts w:hint="default" w:eastAsia="仿宋_GB2312"/>
          <w:kern w:val="0"/>
          <w:sz w:val="36"/>
          <w:szCs w:val="36"/>
          <w:lang w:val="en-US" w:eastAsia="zh-CN"/>
        </w:rPr>
      </w:pPr>
      <w:r>
        <w:rPr>
          <w:rFonts w:eastAsia="仿宋_GB2312"/>
          <w:kern w:val="0"/>
          <w:sz w:val="36"/>
          <w:szCs w:val="36"/>
        </w:rPr>
        <w:t>项目名称：</w:t>
      </w:r>
      <w:r>
        <w:rPr>
          <w:rFonts w:hint="eastAsia" w:eastAsia="仿宋_GB2312"/>
          <w:kern w:val="0"/>
          <w:sz w:val="36"/>
          <w:szCs w:val="36"/>
          <w:lang w:val="en-US" w:eastAsia="zh-CN"/>
        </w:rPr>
        <w:t>自治区本级政府购买演出</w:t>
      </w:r>
    </w:p>
    <w:p>
      <w:pPr>
        <w:spacing w:line="700" w:lineRule="exact"/>
        <w:ind w:firstLine="1440" w:firstLineChars="400"/>
        <w:jc w:val="left"/>
        <w:rPr>
          <w:rFonts w:eastAsia="仿宋_GB2312"/>
          <w:kern w:val="0"/>
          <w:sz w:val="36"/>
          <w:szCs w:val="36"/>
        </w:rPr>
      </w:pPr>
      <w:r>
        <w:rPr>
          <w:rFonts w:eastAsia="仿宋_GB2312"/>
          <w:kern w:val="0"/>
          <w:sz w:val="36"/>
          <w:szCs w:val="36"/>
        </w:rPr>
        <w:t>实施单位（公章）：</w:t>
      </w:r>
      <w:r>
        <w:rPr>
          <w:rFonts w:hAnsi="宋体" w:eastAsia="仿宋_GB2312" w:cs="宋体"/>
          <w:kern w:val="0"/>
          <w:sz w:val="36"/>
          <w:szCs w:val="36"/>
          <w:shd w:val="clear" w:color="auto" w:fill="FFFFFF"/>
        </w:rPr>
        <w:fldChar w:fldCharType="begin">
          <w:fldData xml:space="preserve">RgA5AEIANQBFAEIAQQBBADcARgBBAEIANAA3ADkAQwBBADgAOABDAEUAQQBGADEANABEADkANgA0
AEEAQgBCAA==
</w:fldData>
        </w:fldChar>
      </w:r>
      <w:r>
        <w:rPr>
          <w:rFonts w:hAnsi="宋体" w:eastAsia="仿宋_GB2312" w:cs="宋体"/>
          <w:kern w:val="0"/>
          <w:sz w:val="36"/>
          <w:szCs w:val="36"/>
          <w:shd w:val="clear" w:color="auto" w:fill="FFFFFF"/>
        </w:rPr>
        <w:instrText xml:space="preserve">Addin 单位名称</w:instrText>
      </w:r>
      <w:r>
        <w:rPr>
          <w:rFonts w:hAnsi="宋体" w:eastAsia="仿宋_GB2312" w:cs="宋体"/>
          <w:kern w:val="0"/>
          <w:sz w:val="36"/>
          <w:szCs w:val="36"/>
          <w:shd w:val="clear" w:color="auto" w:fill="FFFFFF"/>
        </w:rPr>
        <w:fldChar w:fldCharType="separate"/>
      </w:r>
      <w:r>
        <w:rPr>
          <w:rFonts w:hint="eastAsia" w:hAnsi="宋体" w:eastAsia="仿宋_GB2312" w:cs="宋体"/>
          <w:color w:val="000000"/>
          <w:kern w:val="0"/>
          <w:sz w:val="36"/>
          <w:szCs w:val="36"/>
          <w:shd w:val="clear" w:color="FFFFFF" w:fill="FFFFFF"/>
        </w:rPr>
        <w:t>新疆艺术剧院杂技团</w:t>
      </w:r>
      <w:r>
        <w:rPr>
          <w:rFonts w:hAnsi="宋体" w:eastAsia="仿宋_GB2312" w:cs="宋体"/>
          <w:kern w:val="0"/>
          <w:sz w:val="36"/>
          <w:szCs w:val="36"/>
          <w:shd w:val="clear" w:color="auto" w:fill="FFFFFF"/>
        </w:rPr>
        <w:fldChar w:fldCharType="end"/>
      </w:r>
    </w:p>
    <w:p>
      <w:pPr>
        <w:spacing w:line="700" w:lineRule="exact"/>
        <w:ind w:firstLine="849" w:firstLineChars="236"/>
        <w:jc w:val="left"/>
        <w:rPr>
          <w:rFonts w:eastAsia="仿宋_GB2312"/>
          <w:kern w:val="0"/>
          <w:sz w:val="36"/>
          <w:szCs w:val="36"/>
        </w:rPr>
      </w:pPr>
      <w:r>
        <w:rPr>
          <w:rFonts w:eastAsia="仿宋_GB2312"/>
          <w:kern w:val="0"/>
          <w:sz w:val="36"/>
          <w:szCs w:val="36"/>
        </w:rPr>
        <w:t>主管部门（公章）：</w:t>
      </w:r>
      <w:r>
        <w:rPr>
          <w:rFonts w:hAnsi="宋体" w:eastAsia="仿宋_GB2312" w:cs="宋体"/>
          <w:kern w:val="0"/>
          <w:sz w:val="36"/>
          <w:szCs w:val="36"/>
          <w:shd w:val="clear" w:color="auto" w:fill="FFFFFF"/>
        </w:rPr>
        <w:fldChar w:fldCharType="begin">
          <w:fldData xml:space="preserve">MgA0ADMAOQAzAEEANgA1ADAAQwA5ADIANABGADUARQBBADkAMQA0ADQAQQA4ADQAMgA3ADQAQwBD
ADEAMAAyAA==
</w:fldData>
        </w:fldChar>
      </w:r>
      <w:r>
        <w:rPr>
          <w:rFonts w:hAnsi="宋体" w:eastAsia="仿宋_GB2312" w:cs="宋体"/>
          <w:kern w:val="0"/>
          <w:sz w:val="36"/>
          <w:szCs w:val="36"/>
          <w:shd w:val="clear" w:color="auto" w:fill="FFFFFF"/>
        </w:rPr>
        <w:instrText xml:space="preserve">Addin 部门名称</w:instrText>
      </w:r>
      <w:r>
        <w:rPr>
          <w:rFonts w:hAnsi="宋体" w:eastAsia="仿宋_GB2312" w:cs="宋体"/>
          <w:kern w:val="0"/>
          <w:sz w:val="36"/>
          <w:szCs w:val="36"/>
          <w:shd w:val="clear" w:color="auto" w:fill="FFFFFF"/>
        </w:rPr>
        <w:fldChar w:fldCharType="separate"/>
      </w:r>
      <w:r>
        <w:rPr>
          <w:rFonts w:hAnsi="宋体" w:eastAsia="仿宋_GB2312" w:cs="宋体"/>
          <w:color w:val="000000"/>
          <w:kern w:val="0"/>
          <w:sz w:val="36"/>
          <w:szCs w:val="36"/>
          <w:shd w:val="clear" w:color="FFFFFF" w:fill="FFFFFF"/>
        </w:rPr>
        <w:t>自治区文化和旅游厅</w:t>
      </w:r>
      <w:r>
        <w:rPr>
          <w:rFonts w:hAnsi="宋体" w:eastAsia="仿宋_GB2312" w:cs="宋体"/>
          <w:kern w:val="0"/>
          <w:sz w:val="36"/>
          <w:szCs w:val="36"/>
          <w:shd w:val="clear" w:color="auto" w:fill="FFFFFF"/>
        </w:rPr>
        <w:fldChar w:fldCharType="end"/>
      </w:r>
    </w:p>
    <w:p>
      <w:pPr>
        <w:spacing w:line="700" w:lineRule="exact"/>
        <w:ind w:firstLine="1440" w:firstLineChars="400"/>
        <w:jc w:val="left"/>
        <w:rPr>
          <w:rFonts w:hint="eastAsia" w:eastAsia="仿宋_GB2312"/>
          <w:kern w:val="0"/>
          <w:sz w:val="36"/>
          <w:szCs w:val="36"/>
          <w:lang w:eastAsia="zh-CN"/>
        </w:rPr>
      </w:pPr>
      <w:r>
        <w:rPr>
          <w:rFonts w:eastAsia="仿宋_GB2312"/>
          <w:kern w:val="0"/>
          <w:sz w:val="36"/>
          <w:szCs w:val="36"/>
        </w:rPr>
        <w:t>项目负责人（签章）：</w:t>
      </w:r>
      <w:r>
        <w:rPr>
          <w:rFonts w:hint="eastAsia" w:eastAsia="仿宋_GB2312"/>
          <w:kern w:val="0"/>
          <w:sz w:val="36"/>
          <w:szCs w:val="36"/>
          <w:lang w:val="en-US" w:eastAsia="zh-CN"/>
        </w:rPr>
        <w:t>师晓白</w:t>
      </w:r>
    </w:p>
    <w:p>
      <w:pPr>
        <w:spacing w:line="700" w:lineRule="exact"/>
        <w:ind w:firstLine="1440" w:firstLineChars="400"/>
        <w:jc w:val="left"/>
        <w:rPr>
          <w:rFonts w:eastAsia="仿宋_GB2312"/>
          <w:kern w:val="0"/>
          <w:sz w:val="36"/>
          <w:szCs w:val="36"/>
        </w:rPr>
      </w:pPr>
      <w:r>
        <w:rPr>
          <w:rFonts w:eastAsia="仿宋_GB2312"/>
          <w:kern w:val="0"/>
          <w:sz w:val="36"/>
          <w:szCs w:val="36"/>
        </w:rPr>
        <w:t>填报时间：</w:t>
      </w:r>
      <w:r>
        <w:rPr>
          <w:rFonts w:hint="eastAsia" w:eastAsia="仿宋_GB2312"/>
          <w:kern w:val="0"/>
          <w:sz w:val="36"/>
          <w:szCs w:val="36"/>
          <w:lang w:val="en-US" w:eastAsia="zh-CN"/>
        </w:rPr>
        <w:t>2023</w:t>
      </w:r>
      <w:r>
        <w:rPr>
          <w:rFonts w:eastAsia="仿宋_GB2312"/>
          <w:kern w:val="0"/>
          <w:sz w:val="36"/>
          <w:szCs w:val="36"/>
        </w:rPr>
        <w:t>年</w:t>
      </w:r>
      <w:r>
        <w:rPr>
          <w:rFonts w:hint="eastAsia" w:eastAsia="仿宋_GB2312"/>
          <w:kern w:val="0"/>
          <w:sz w:val="36"/>
          <w:szCs w:val="36"/>
          <w:lang w:val="en-US" w:eastAsia="zh-CN"/>
        </w:rPr>
        <w:t>4</w:t>
      </w:r>
      <w:r>
        <w:rPr>
          <w:rFonts w:eastAsia="仿宋_GB2312"/>
          <w:kern w:val="0"/>
          <w:sz w:val="36"/>
          <w:szCs w:val="36"/>
        </w:rPr>
        <w:t>月</w:t>
      </w:r>
      <w:r>
        <w:rPr>
          <w:rFonts w:hint="eastAsia" w:eastAsia="仿宋_GB2312"/>
          <w:kern w:val="0"/>
          <w:sz w:val="36"/>
          <w:szCs w:val="36"/>
          <w:lang w:val="en-US" w:eastAsia="zh-CN"/>
        </w:rPr>
        <w:t>6</w:t>
      </w:r>
      <w:r>
        <w:rPr>
          <w:rFonts w:eastAsia="仿宋_GB2312"/>
          <w:kern w:val="0"/>
          <w:sz w:val="36"/>
          <w:szCs w:val="36"/>
        </w:rPr>
        <w:t>日</w:t>
      </w:r>
    </w:p>
    <w:p>
      <w:pPr>
        <w:spacing w:line="540" w:lineRule="exact"/>
        <w:jc w:val="center"/>
        <w:rPr>
          <w:rFonts w:eastAsia="仿宋_GB2312"/>
          <w:kern w:val="0"/>
          <w:sz w:val="30"/>
          <w:szCs w:val="30"/>
        </w:rPr>
      </w:pPr>
    </w:p>
    <w:p>
      <w:pPr>
        <w:spacing w:line="540" w:lineRule="exact"/>
        <w:rPr>
          <w:rStyle w:val="15"/>
          <w:rFonts w:eastAsia="黑体"/>
          <w:b w:val="0"/>
          <w:spacing w:val="-4"/>
          <w:sz w:val="32"/>
          <w:szCs w:val="32"/>
        </w:rPr>
      </w:pPr>
    </w:p>
    <w:p>
      <w:pPr>
        <w:spacing w:line="560" w:lineRule="exact"/>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rPr>
      </w:pPr>
      <w:r>
        <w:rPr>
          <w:rFonts w:eastAsia="黑体"/>
          <w:bCs/>
          <w:sz w:val="32"/>
          <w:szCs w:val="32"/>
        </w:rPr>
        <w:t>一、基本情况</w:t>
      </w:r>
    </w:p>
    <w:p>
      <w:pPr>
        <w:spacing w:line="560" w:lineRule="exact"/>
        <w:ind w:firstLine="643" w:firstLineChars="200"/>
        <w:rPr>
          <w:rFonts w:eastAsia="楷体_GB2312"/>
          <w:b/>
          <w:bCs/>
          <w:sz w:val="32"/>
          <w:szCs w:val="32"/>
        </w:rPr>
      </w:pPr>
      <w:r>
        <w:rPr>
          <w:rFonts w:eastAsia="楷体_GB2312"/>
          <w:b/>
          <w:bCs/>
          <w:sz w:val="32"/>
          <w:szCs w:val="32"/>
        </w:rPr>
        <w:t>（一）项目概况</w:t>
      </w:r>
    </w:p>
    <w:p>
      <w:pPr>
        <w:spacing w:line="560" w:lineRule="exact"/>
        <w:ind w:firstLine="643" w:firstLineChars="200"/>
        <w:rPr>
          <w:rFonts w:eastAsia="仿宋_GB2312"/>
          <w:b/>
          <w:bCs/>
          <w:sz w:val="32"/>
          <w:szCs w:val="32"/>
        </w:rPr>
      </w:pPr>
      <w:r>
        <w:rPr>
          <w:rFonts w:eastAsia="仿宋_GB2312"/>
          <w:b/>
          <w:bCs/>
          <w:sz w:val="32"/>
          <w:szCs w:val="32"/>
        </w:rPr>
        <w:t>1、项目背景</w:t>
      </w:r>
    </w:p>
    <w:p>
      <w:pPr>
        <w:pStyle w:val="2"/>
        <w:jc w:val="left"/>
      </w:pPr>
      <w:r>
        <w:rPr>
          <w:rFonts w:hint="eastAsia"/>
          <w:lang w:val="en-US" w:eastAsia="zh-CN"/>
        </w:rPr>
        <w:t xml:space="preserve">    </w:t>
      </w:r>
      <w:r>
        <w:rPr>
          <w:rFonts w:hint="eastAsia" w:ascii="Times New Roman" w:hAnsi="Times New Roman" w:eastAsia="仿宋_GB2312" w:cs="Times New Roman"/>
          <w:b w:val="0"/>
          <w:bCs w:val="0"/>
          <w:kern w:val="2"/>
          <w:sz w:val="32"/>
          <w:szCs w:val="32"/>
          <w:lang w:val="en-US" w:eastAsia="zh-CN" w:bidi="ar-SA"/>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积极性，提升演出质量，增强公共文化服务能力，自治区建立区级文艺院团政府购买演出机制。</w:t>
      </w:r>
    </w:p>
    <w:p>
      <w:pPr>
        <w:pStyle w:val="2"/>
        <w:numPr>
          <w:ilvl w:val="0"/>
          <w:numId w:val="1"/>
        </w:numPr>
        <w:spacing w:before="0" w:after="0" w:line="560" w:lineRule="exact"/>
        <w:ind w:firstLine="643" w:firstLineChars="200"/>
        <w:jc w:val="both"/>
        <w:rPr>
          <w:rFonts w:ascii="Times New Roman" w:hAnsi="Times New Roman" w:eastAsia="仿宋_GB2312"/>
          <w:kern w:val="2"/>
        </w:rPr>
      </w:pPr>
      <w:r>
        <w:rPr>
          <w:rFonts w:ascii="Times New Roman" w:hAnsi="Times New Roman" w:eastAsia="仿宋_GB2312"/>
          <w:kern w:val="2"/>
        </w:rPr>
        <w:t>项目主要内容：</w:t>
      </w:r>
    </w:p>
    <w:p>
      <w:pPr>
        <w:pStyle w:val="2"/>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项目主要内容：</w:t>
      </w:r>
    </w:p>
    <w:p>
      <w:pPr>
        <w:pStyle w:val="2"/>
        <w:ind w:firstLine="640" w:firstLineChars="200"/>
        <w:jc w:val="left"/>
        <w:rPr>
          <w:rFonts w:hint="eastAsia" w:eastAsia="黑体"/>
          <w:highlight w:val="yellow"/>
          <w:lang w:eastAsia="zh-CN"/>
        </w:rPr>
      </w:pPr>
      <w:r>
        <w:rPr>
          <w:rFonts w:hint="eastAsia" w:ascii="Times New Roman" w:hAnsi="Times New Roman" w:eastAsia="仿宋_GB2312" w:cs="Times New Roman"/>
          <w:b w:val="0"/>
          <w:bCs w:val="0"/>
          <w:kern w:val="2"/>
          <w:sz w:val="32"/>
          <w:szCs w:val="32"/>
          <w:lang w:val="en-US" w:eastAsia="zh-CN" w:bidi="ar-SA"/>
        </w:rPr>
        <w:t>政府购买演出补助资金优先用于新疆艺术剧院杂技团在职人员绩效工资发放和其他工资福利费用支出、并用于办公经费、公务用车运行维护费、消防设备购置等开支。</w:t>
      </w:r>
    </w:p>
    <w:p>
      <w:pPr>
        <w:spacing w:line="560" w:lineRule="exact"/>
        <w:ind w:firstLine="640" w:firstLineChars="200"/>
      </w:pPr>
      <w:r>
        <w:rPr>
          <w:rFonts w:eastAsia="仿宋_GB2312"/>
          <w:sz w:val="32"/>
          <w:szCs w:val="32"/>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3" w:firstLineChars="200"/>
        <w:rPr>
          <w:rFonts w:eastAsia="仿宋_GB2312"/>
          <w:b/>
          <w:bCs/>
          <w:sz w:val="32"/>
          <w:szCs w:val="32"/>
        </w:rPr>
      </w:pPr>
      <w:r>
        <w:rPr>
          <w:rFonts w:eastAsia="仿宋_GB2312"/>
          <w:b/>
          <w:bCs/>
          <w:sz w:val="32"/>
          <w:szCs w:val="32"/>
        </w:rPr>
        <w:t>3、资金投入和使用情况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该项目年初预算数250万元，全年预算数250万元，实际总投入250万元，该项目资金已全部落实到位，资金来源为财政拨款。</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250万元，全年预算数250万元，全年执行数248万元，预算执行率为99.2%，主要用于：弥补人员工资绩效226.05万元，办公经费1.7万元，公务用车运行维护费7.5万元，弥补其他工资福利支出11.55万元，设备购置费1.2万元。</w:t>
      </w:r>
    </w:p>
    <w:p>
      <w:pPr>
        <w:spacing w:line="560" w:lineRule="exact"/>
        <w:ind w:firstLine="643" w:firstLineChars="200"/>
        <w:rPr>
          <w:rFonts w:eastAsia="楷体_GB2312"/>
          <w:b/>
          <w:bCs/>
          <w:sz w:val="32"/>
          <w:szCs w:val="32"/>
        </w:rPr>
      </w:pPr>
      <w:r>
        <w:rPr>
          <w:rFonts w:eastAsia="楷体_GB2312"/>
          <w:b/>
          <w:bCs/>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1、总体目标</w:t>
      </w:r>
    </w:p>
    <w:p>
      <w:pPr>
        <w:spacing w:line="560" w:lineRule="exact"/>
        <w:ind w:firstLine="640" w:firstLineChars="200"/>
        <w:rPr>
          <w:rFonts w:eastAsia="仿宋_GB2312"/>
          <w:sz w:val="32"/>
          <w:szCs w:val="32"/>
        </w:rPr>
      </w:pPr>
      <w:r>
        <w:rPr>
          <w:rFonts w:hint="eastAsia" w:eastAsia="仿宋_GB2312"/>
          <w:sz w:val="32"/>
          <w:szCs w:val="32"/>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积极性，提升演出质量，增强公共文化服务能力，自治区建立区级文艺院团政府购买演出机制。政府购买演出补助资金优先用于自治区级文艺院团在职人员绩效工资发放和其他工资福利费用支出、并用于办公经费、公务用车运行维护费、消防设备购置等开支。</w:t>
      </w:r>
    </w:p>
    <w:p>
      <w:pPr>
        <w:numPr>
          <w:ilvl w:val="0"/>
          <w:numId w:val="1"/>
        </w:numPr>
        <w:spacing w:line="560" w:lineRule="exact"/>
        <w:ind w:left="0" w:leftChars="0" w:firstLine="640" w:firstLineChars="200"/>
        <w:rPr>
          <w:rFonts w:eastAsia="仿宋_GB2312"/>
          <w:sz w:val="32"/>
          <w:szCs w:val="32"/>
        </w:rPr>
      </w:pPr>
      <w:r>
        <w:rPr>
          <w:rFonts w:eastAsia="仿宋_GB2312"/>
          <w:sz w:val="32"/>
          <w:szCs w:val="32"/>
        </w:rPr>
        <w:t>阶段性目标</w:t>
      </w:r>
    </w:p>
    <w:p>
      <w:pPr>
        <w:adjustRightInd w:val="0"/>
        <w:snapToGrid w:val="0"/>
        <w:spacing w:line="560" w:lineRule="exact"/>
        <w:ind w:firstLine="624" w:firstLineChars="200"/>
        <w:rPr>
          <w:rFonts w:hint="eastAsia" w:ascii="仿宋_GB2312" w:eastAsia="仿宋_GB2312"/>
          <w:color w:val="000000"/>
          <w:spacing w:val="-4"/>
          <w:sz w:val="32"/>
          <w:szCs w:val="32"/>
          <w:shd w:val="clear" w:color="FFFFFF" w:fill="FFFFFF"/>
          <w:lang w:val="en-US" w:eastAsia="zh-CN"/>
        </w:rPr>
      </w:pPr>
      <w:r>
        <w:rPr>
          <w:rFonts w:hint="eastAsia" w:ascii="仿宋_GB2312" w:eastAsia="仿宋_GB2312"/>
          <w:color w:val="000000"/>
          <w:spacing w:val="-4"/>
          <w:sz w:val="32"/>
          <w:szCs w:val="32"/>
          <w:shd w:val="clear" w:color="FFFFFF" w:fill="FFFFFF"/>
          <w:lang w:val="en-US" w:eastAsia="zh-CN"/>
        </w:rPr>
        <w:t>深入学习贯彻习近平总书记系列重要讲话精神、特别是在中央第二次新疆工作座谈会和视察新疆时的重要讲话精神,紧紧围绕社会稳定和长治久安总目标，坚持中国特色社会主义文化发展道路，坚定文化自信，坚守中华文化立场，坚持以人民为中心的创作导向,在不断推进创作生产的同时，把以人民为中心作为创作工作的出发点和落脚点，为各族群众奉献大量的文艺演出培育形成“建设美丽新疆、共圆祖国梦想”的强大社会正能量，为实现新疆工作总目标、推动我区由文化资源大区向文化发展大区转变,提供强大的价值引导力、文化凝聚力、精神推动力，推动我区文艺演出深入基层，深入农村乡镇。</w:t>
      </w:r>
    </w:p>
    <w:p>
      <w:pPr>
        <w:pStyle w:val="2"/>
        <w:numPr>
          <w:ilvl w:val="0"/>
          <w:numId w:val="0"/>
        </w:numPr>
        <w:ind w:leftChars="200"/>
        <w:jc w:val="both"/>
        <w:rPr>
          <w:rFonts w:hint="eastAsia"/>
          <w:lang w:eastAsia="zh-CN"/>
        </w:rPr>
      </w:pPr>
    </w:p>
    <w:p>
      <w:pPr>
        <w:spacing w:line="560" w:lineRule="exact"/>
        <w:ind w:firstLine="640" w:firstLineChars="200"/>
        <w:rPr>
          <w:rFonts w:eastAsia="黑体"/>
          <w:sz w:val="32"/>
          <w:szCs w:val="32"/>
        </w:rPr>
      </w:pPr>
      <w:r>
        <w:rPr>
          <w:rFonts w:eastAsia="黑体"/>
          <w:sz w:val="32"/>
          <w:szCs w:val="32"/>
        </w:rPr>
        <w:t>二、绩效评价工作开展情况</w:t>
      </w:r>
    </w:p>
    <w:p>
      <w:pPr>
        <w:spacing w:line="560" w:lineRule="exact"/>
        <w:ind w:firstLine="643" w:firstLineChars="200"/>
        <w:rPr>
          <w:rFonts w:eastAsia="楷体_GB2312"/>
          <w:b/>
          <w:bCs/>
          <w:sz w:val="32"/>
          <w:szCs w:val="32"/>
        </w:rPr>
      </w:pPr>
      <w:r>
        <w:rPr>
          <w:rFonts w:eastAsia="楷体_GB2312"/>
          <w:b/>
          <w:bCs/>
          <w:sz w:val="32"/>
          <w:szCs w:val="32"/>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1、绩效评价的目的</w:t>
      </w:r>
    </w:p>
    <w:p>
      <w:pPr>
        <w:spacing w:line="560" w:lineRule="exact"/>
        <w:ind w:firstLine="640" w:firstLineChars="200"/>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2"/>
        </w:numPr>
        <w:spacing w:line="560" w:lineRule="exact"/>
        <w:ind w:firstLine="640" w:firstLineChars="200"/>
        <w:rPr>
          <w:rFonts w:eastAsia="仿宋_GB2312"/>
          <w:sz w:val="32"/>
          <w:szCs w:val="32"/>
        </w:rPr>
      </w:pPr>
      <w:r>
        <w:rPr>
          <w:rFonts w:eastAsia="仿宋_GB2312"/>
          <w:sz w:val="32"/>
          <w:szCs w:val="32"/>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rPr>
      </w:pPr>
      <w:r>
        <w:rPr>
          <w:rFonts w:eastAsia="仿宋_GB2312"/>
          <w:sz w:val="32"/>
          <w:szCs w:val="32"/>
        </w:rPr>
        <w:t>（2）项目绩效管理财政支出运行提供及时、有效的信息。</w:t>
      </w:r>
    </w:p>
    <w:p>
      <w:pPr>
        <w:pStyle w:val="18"/>
        <w:spacing w:line="560" w:lineRule="exact"/>
        <w:ind w:firstLine="640" w:firstLineChars="200"/>
        <w:rPr>
          <w:rFonts w:eastAsia="方正仿宋_GBK" w:cs="方正仿宋_GBK"/>
          <w:sz w:val="32"/>
          <w:szCs w:val="32"/>
        </w:rPr>
      </w:pPr>
      <w:r>
        <w:rPr>
          <w:rFonts w:eastAsia="仿宋_GB2312"/>
          <w:sz w:val="32"/>
          <w:szCs w:val="32"/>
        </w:rPr>
        <w:t>综合来看，通过开展有效的财政支出绩效评价管理，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2、绩效评价的对象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自治区本级政府购买演出</w:t>
      </w:r>
      <w:r>
        <w:rPr>
          <w:rFonts w:hint="eastAsia" w:ascii="仿宋_GB2312" w:hAnsi="仿宋_GB2312" w:eastAsia="仿宋_GB2312" w:cs="仿宋_GB2312"/>
          <w:sz w:val="32"/>
          <w:szCs w:val="32"/>
        </w:rPr>
        <w:t>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3、绩效评价的范围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w:t>
      </w:r>
      <w:r>
        <w:rPr>
          <w:rFonts w:hint="eastAsia" w:ascii="仿宋_GB2312" w:hAnsi="仿宋_GB2312" w:eastAsia="仿宋_GB2312" w:cs="仿宋_GB2312"/>
          <w:sz w:val="32"/>
          <w:szCs w:val="32"/>
          <w:lang w:val="en-US" w:eastAsia="zh-CN"/>
        </w:rPr>
        <w:t>自治区本级政府购买演出</w:t>
      </w:r>
      <w:r>
        <w:rPr>
          <w:rFonts w:hint="eastAsia" w:ascii="仿宋_GB2312" w:hAnsi="仿宋_GB2312" w:eastAsia="仿宋_GB2312" w:cs="仿宋_GB2312"/>
          <w:sz w:val="32"/>
          <w:szCs w:val="32"/>
        </w:rPr>
        <w:t>项目进行评价，评价核心为专项资金的支出完成情况和效果。</w:t>
      </w:r>
    </w:p>
    <w:p>
      <w:pPr>
        <w:spacing w:line="560" w:lineRule="exact"/>
        <w:ind w:firstLine="643" w:firstLineChars="200"/>
      </w:pPr>
      <w:r>
        <w:rPr>
          <w:rFonts w:eastAsia="楷体_GB2312"/>
          <w:b/>
          <w:bCs/>
          <w:sz w:val="32"/>
          <w:szCs w:val="32"/>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1、绩效评价原则</w:t>
      </w:r>
    </w:p>
    <w:p>
      <w:pPr>
        <w:spacing w:line="560" w:lineRule="exact"/>
        <w:ind w:firstLine="640" w:firstLineChars="200"/>
        <w:rPr>
          <w:rFonts w:eastAsia="仿宋_GB2312"/>
          <w:color w:val="000000"/>
          <w:sz w:val="32"/>
          <w:szCs w:val="32"/>
        </w:rPr>
      </w:pPr>
      <w:r>
        <w:rPr>
          <w:rFonts w:eastAsia="仿宋_GB2312"/>
          <w:color w:val="000000"/>
          <w:sz w:val="32"/>
          <w:szCs w:val="32"/>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2、评价指标体系</w:t>
      </w:r>
    </w:p>
    <w:p>
      <w:pPr>
        <w:spacing w:line="560" w:lineRule="exact"/>
        <w:ind w:firstLine="708" w:firstLineChars="200"/>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（1）确定评价指标</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（3）确定指标标准值</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rPr>
      </w:pPr>
      <w:r>
        <w:rPr>
          <w:rFonts w:ascii="Times New Roman" w:hAnsi="Times New Roman" w:eastAsia="仿宋_GB2312"/>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rPr>
      </w:pPr>
      <w:r>
        <w:rPr>
          <w:rFonts w:ascii="Times New Roman" w:hAnsi="Times New Roman" w:eastAsia="仿宋_GB2312"/>
          <w:b w:val="0"/>
          <w:bCs w:val="0"/>
          <w:color w:val="000000"/>
          <w:spacing w:val="17"/>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3、绩效评价方法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  评价核心为资金的支出完成情况和项目的产出效益。</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（1）比较法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通过对绩效目标与实施效果、历史与当期情况，综合分析绩效目标实现程度。对</w:t>
      </w:r>
      <w:r>
        <w:rPr>
          <w:rFonts w:eastAsia="仿宋_GB2312"/>
          <w:sz w:val="32"/>
          <w:szCs w:val="32"/>
        </w:rPr>
        <w:t>项目</w:t>
      </w:r>
      <w:r>
        <w:rPr>
          <w:rFonts w:eastAsia="仿宋_GB2312"/>
          <w:color w:val="000000"/>
          <w:spacing w:val="17"/>
          <w:sz w:val="32"/>
          <w:szCs w:val="32"/>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（2）因素分析法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通过综合分析影响绩效目标实现、实施效果的内外因素，评价绩效目标实现程度。通过对</w:t>
      </w:r>
      <w:r>
        <w:rPr>
          <w:rFonts w:eastAsia="仿宋_GB2312"/>
          <w:sz w:val="32"/>
          <w:szCs w:val="32"/>
        </w:rPr>
        <w:t>项目</w:t>
      </w:r>
      <w:r>
        <w:rPr>
          <w:rFonts w:eastAsia="仿宋_GB2312"/>
          <w:color w:val="000000"/>
          <w:spacing w:val="17"/>
          <w:sz w:val="32"/>
          <w:szCs w:val="32"/>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4、评价标准</w:t>
      </w:r>
    </w:p>
    <w:p>
      <w:pPr>
        <w:spacing w:line="560" w:lineRule="exact"/>
        <w:ind w:firstLine="640"/>
        <w:rPr>
          <w:rFonts w:hint="eastAsia" w:eastAsia="方正仿宋_GBK" w:cs="方正仿宋_GBK"/>
          <w:sz w:val="32"/>
          <w:szCs w:val="32"/>
        </w:rPr>
      </w:pPr>
      <w:r>
        <w:rPr>
          <w:rFonts w:hint="eastAsia" w:eastAsia="方正仿宋_GBK" w:cs="方正仿宋_GBK"/>
          <w:sz w:val="32"/>
          <w:szCs w:val="32"/>
        </w:rPr>
        <w:t>绩效评价标准通常包括计划标准、行业标准、历史标准等，用于对绩效指标完成情况进行比较、分析、评价。</w:t>
      </w:r>
      <w:r>
        <w:rPr>
          <w:rFonts w:hint="eastAsia" w:eastAsia="方正仿宋_GBK" w:cs="方正仿宋_GBK"/>
          <w:sz w:val="32"/>
          <w:szCs w:val="32"/>
          <w:highlight w:val="none"/>
        </w:rPr>
        <w:t>本次</w:t>
      </w:r>
      <w:r>
        <w:rPr>
          <w:rFonts w:hint="eastAsia" w:eastAsia="方正仿宋_GBK" w:cs="方正仿宋_GBK"/>
          <w:sz w:val="32"/>
          <w:szCs w:val="32"/>
        </w:rPr>
        <w:t>评价主要采用了</w:t>
      </w:r>
      <w:r>
        <w:rPr>
          <w:rFonts w:hint="eastAsia" w:eastAsia="方正仿宋_GBK" w:cs="方正仿宋_GBK"/>
          <w:sz w:val="32"/>
          <w:szCs w:val="32"/>
          <w:lang w:val="en-US" w:eastAsia="zh-CN"/>
        </w:rPr>
        <w:t>计划</w:t>
      </w:r>
      <w:r>
        <w:rPr>
          <w:rFonts w:hint="eastAsia" w:eastAsia="方正仿宋_GBK" w:cs="方正仿宋_GBK"/>
          <w:sz w:val="32"/>
          <w:szCs w:val="32"/>
        </w:rPr>
        <w:t>标准。</w:t>
      </w:r>
    </w:p>
    <w:p>
      <w:pPr>
        <w:spacing w:line="560" w:lineRule="exact"/>
        <w:ind w:firstLine="640"/>
        <w:rPr>
          <w:rFonts w:eastAsia="方正仿宋_GBK" w:cs="方正仿宋_GBK"/>
          <w:sz w:val="32"/>
          <w:szCs w:val="32"/>
        </w:rPr>
      </w:pPr>
      <w:bookmarkStart w:id="0" w:name="_Toc17882"/>
      <w:bookmarkStart w:id="1" w:name="_Toc31464"/>
      <w:r>
        <w:rPr>
          <w:rFonts w:hint="eastAsia" w:eastAsia="方正仿宋_GBK" w:cs="方正仿宋_GBK"/>
          <w:b/>
          <w:bCs/>
          <w:sz w:val="32"/>
          <w:szCs w:val="32"/>
        </w:rPr>
        <w:t>计划标准：</w:t>
      </w:r>
      <w:r>
        <w:rPr>
          <w:rFonts w:hint="eastAsia" w:eastAsia="方正仿宋_GBK" w:cs="方正仿宋_GBK"/>
          <w:sz w:val="32"/>
          <w:szCs w:val="32"/>
        </w:rPr>
        <w:t>指以预先制定的目标、计划、预算、定额等作为评价标准。</w:t>
      </w:r>
      <w:bookmarkEnd w:id="0"/>
      <w:bookmarkEnd w:id="1"/>
    </w:p>
    <w:p>
      <w:pPr>
        <w:spacing w:line="560" w:lineRule="exact"/>
        <w:ind w:firstLine="640"/>
        <w:rPr>
          <w:rFonts w:eastAsia="方正仿宋_GBK" w:cs="方正仿宋_GBK"/>
          <w:sz w:val="32"/>
          <w:szCs w:val="32"/>
        </w:rPr>
      </w:pPr>
      <w:bookmarkStart w:id="2" w:name="_Toc2318"/>
      <w:bookmarkStart w:id="3" w:name="_Toc5633"/>
      <w:r>
        <w:rPr>
          <w:rFonts w:hint="eastAsia" w:eastAsia="方正仿宋_GBK" w:cs="方正仿宋_GBK"/>
          <w:b/>
          <w:bCs/>
          <w:sz w:val="32"/>
          <w:szCs w:val="32"/>
        </w:rPr>
        <w:t>行业标准：</w:t>
      </w:r>
      <w:r>
        <w:rPr>
          <w:rFonts w:hint="eastAsia" w:eastAsia="方正仿宋_GBK" w:cs="方正仿宋_GBK"/>
          <w:sz w:val="32"/>
          <w:szCs w:val="32"/>
        </w:rPr>
        <w:t>指参照国家公布的行业指标数据制定的评价标准。</w:t>
      </w:r>
      <w:bookmarkEnd w:id="2"/>
      <w:bookmarkEnd w:id="3"/>
    </w:p>
    <w:p>
      <w:pPr>
        <w:spacing w:line="560" w:lineRule="exact"/>
        <w:ind w:firstLine="640"/>
        <w:rPr>
          <w:rFonts w:eastAsia="方正仿宋_GBK" w:cs="方正仿宋_GBK"/>
          <w:sz w:val="32"/>
          <w:szCs w:val="32"/>
        </w:rPr>
      </w:pPr>
      <w:bookmarkStart w:id="4" w:name="_Toc16028"/>
      <w:bookmarkStart w:id="5" w:name="_Toc430"/>
      <w:r>
        <w:rPr>
          <w:rFonts w:hint="eastAsia" w:eastAsia="方正仿宋_GBK" w:cs="方正仿宋_GBK"/>
          <w:b/>
          <w:bCs/>
          <w:sz w:val="32"/>
          <w:szCs w:val="32"/>
        </w:rPr>
        <w:t>历史标准：</w:t>
      </w:r>
      <w:r>
        <w:rPr>
          <w:rFonts w:hint="eastAsia" w:eastAsia="方正仿宋_GBK" w:cs="方正仿宋_GBK"/>
          <w:sz w:val="32"/>
          <w:szCs w:val="32"/>
        </w:rPr>
        <w:t>指参照历史数据制定的评价标准，为体现绩效改进的原则，在可实现的条件下应当确定相对较高的评价标准。</w:t>
      </w:r>
      <w:bookmarkEnd w:id="4"/>
      <w:bookmarkEnd w:id="5"/>
    </w:p>
    <w:p>
      <w:pPr>
        <w:pStyle w:val="2"/>
        <w:numPr>
          <w:ilvl w:val="0"/>
          <w:numId w:val="3"/>
        </w:numPr>
        <w:spacing w:before="0" w:after="0" w:line="560" w:lineRule="exact"/>
        <w:ind w:firstLine="711" w:firstLineChars="200"/>
        <w:jc w:val="both"/>
        <w:rPr>
          <w:rFonts w:ascii="楷体" w:hAnsi="楷体" w:eastAsia="楷体" w:cs="楷体"/>
          <w:color w:val="000000"/>
          <w:spacing w:val="17"/>
        </w:rPr>
      </w:pPr>
      <w:r>
        <w:rPr>
          <w:rFonts w:hint="eastAsia" w:ascii="楷体" w:hAnsi="楷体" w:eastAsia="楷体" w:cs="楷体"/>
          <w:color w:val="000000"/>
          <w:spacing w:val="17"/>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1.</w:t>
      </w:r>
      <w:r>
        <w:rPr>
          <w:rFonts w:hint="eastAsia" w:eastAsia="仿宋_GB2312"/>
          <w:bCs/>
          <w:sz w:val="32"/>
          <w:szCs w:val="32"/>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2.</w:t>
      </w:r>
      <w:r>
        <w:rPr>
          <w:rFonts w:hint="eastAsia" w:eastAsia="仿宋_GB2312"/>
          <w:bCs/>
          <w:sz w:val="32"/>
          <w:szCs w:val="32"/>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rPr>
      </w:pPr>
      <w:r>
        <w:rPr>
          <w:rFonts w:hint="eastAsia" w:eastAsia="仿宋_GB2312"/>
          <w:bCs/>
          <w:sz w:val="32"/>
          <w:szCs w:val="32"/>
          <w:lang w:val="en-US" w:eastAsia="zh-CN"/>
        </w:rPr>
        <w:t>3.</w:t>
      </w:r>
      <w:r>
        <w:rPr>
          <w:rFonts w:hint="eastAsia" w:eastAsia="仿宋_GB2312"/>
          <w:bCs/>
          <w:sz w:val="32"/>
          <w:szCs w:val="32"/>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4"/>
        </w:numPr>
        <w:spacing w:line="560" w:lineRule="exact"/>
        <w:ind w:firstLine="640" w:firstLineChars="200"/>
        <w:rPr>
          <w:rFonts w:eastAsia="黑体"/>
          <w:sz w:val="32"/>
          <w:szCs w:val="32"/>
        </w:rPr>
      </w:pPr>
      <w:r>
        <w:rPr>
          <w:rFonts w:eastAsia="黑体"/>
          <w:sz w:val="32"/>
          <w:szCs w:val="32"/>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lang w:val="en-US" w:eastAsia="zh-CN"/>
        </w:rPr>
      </w:pPr>
      <w:r>
        <w:rPr>
          <w:rFonts w:hint="eastAsia" w:ascii="Times New Roman" w:hAnsi="Times New Roman" w:eastAsia="楷体_GB2312"/>
          <w:lang w:eastAsia="zh-CN"/>
        </w:rPr>
        <w:t>（</w:t>
      </w:r>
      <w:r>
        <w:rPr>
          <w:rFonts w:hint="eastAsia" w:ascii="Times New Roman" w:hAnsi="Times New Roman" w:eastAsia="楷体_GB2312"/>
          <w:lang w:val="en-US" w:eastAsia="zh-CN"/>
        </w:rPr>
        <w:t>一</w:t>
      </w:r>
      <w:r>
        <w:rPr>
          <w:rFonts w:hint="eastAsia" w:ascii="Times New Roman" w:hAnsi="Times New Roman" w:eastAsia="楷体_GB2312"/>
          <w:lang w:eastAsia="zh-CN"/>
        </w:rPr>
        <w:t>）</w:t>
      </w:r>
      <w:r>
        <w:rPr>
          <w:rFonts w:hint="eastAsia" w:ascii="Times New Roman" w:hAnsi="Times New Roman" w:eastAsia="楷体_GB2312"/>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lang w:val="en-US" w:eastAsia="zh-CN" w:bidi="ar-SA"/>
        </w:rPr>
      </w:pPr>
      <w:r>
        <w:rPr>
          <w:rFonts w:hint="eastAsia" w:ascii="Times New Roman" w:hAnsi="Times New Roman" w:eastAsia="仿宋_GB2312" w:cs="Times New Roman"/>
          <w:b w:val="0"/>
          <w:bCs w:val="0"/>
          <w:kern w:val="28"/>
          <w:sz w:val="32"/>
          <w:szCs w:val="32"/>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二</w:t>
      </w: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评价结论</w:t>
      </w:r>
    </w:p>
    <w:p>
      <w:pPr>
        <w:pStyle w:val="2"/>
        <w:widowControl w:val="0"/>
        <w:spacing w:before="0" w:after="0" w:line="560" w:lineRule="exact"/>
        <w:ind w:firstLine="640" w:firstLineChars="200"/>
        <w:jc w:val="both"/>
        <w:outlineLvl w:val="9"/>
        <w:rPr>
          <w:rFonts w:hint="eastAsia" w:ascii="Times New Roman" w:hAnsi="Times New Roman" w:eastAsia="仿宋_GB2312"/>
          <w:b w:val="0"/>
          <w:bCs w:val="0"/>
          <w:lang w:eastAsia="zh-CN"/>
        </w:rPr>
      </w:pPr>
      <w:r>
        <w:rPr>
          <w:rFonts w:hint="eastAsia" w:ascii="Times New Roman" w:hAnsi="Times New Roman" w:eastAsia="仿宋_GB2312"/>
          <w:b w:val="0"/>
          <w:bCs w:val="0"/>
        </w:rPr>
        <w:t>运用绩效评价组制定的评价指标体系以及财政部《项目支出绩效评价管理办法》（财预〔2020〕10号）文件的评分标准，通过数据采集、问卷调查及访谈等方式，对本项目进行客观评价</w:t>
      </w:r>
      <w:r>
        <w:rPr>
          <w:rFonts w:hint="eastAsia" w:ascii="Times New Roman" w:hAnsi="Times New Roman" w:eastAsia="仿宋_GB2312"/>
          <w:b w:val="0"/>
          <w:bCs w:val="0"/>
          <w:highlight w:val="none"/>
        </w:rPr>
        <w:t>，最终评分结果：总得分为</w:t>
      </w:r>
      <w:r>
        <w:rPr>
          <w:rFonts w:hint="eastAsia" w:ascii="Times New Roman" w:hAnsi="Times New Roman" w:eastAsia="仿宋_GB2312"/>
          <w:b w:val="0"/>
          <w:bCs w:val="0"/>
          <w:highlight w:val="none"/>
          <w:lang w:val="en-US" w:eastAsia="zh-CN"/>
        </w:rPr>
        <w:t>99.11</w:t>
      </w:r>
      <w:r>
        <w:rPr>
          <w:rFonts w:hint="eastAsia" w:ascii="Times New Roman" w:hAnsi="Times New Roman" w:eastAsia="仿宋_GB2312"/>
          <w:b w:val="0"/>
          <w:bCs w:val="0"/>
          <w:highlight w:val="none"/>
        </w:rPr>
        <w:t>分，属于“优”。其中，项目决策类指标权重为20分，得分为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 xml:space="preserve">分，得分率为 </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%。项目过程类指标权重为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90</w:t>
      </w:r>
      <w:r>
        <w:rPr>
          <w:rFonts w:hint="eastAsia" w:ascii="Times New Roman" w:hAnsi="Times New Roman" w:eastAsia="仿宋_GB2312"/>
          <w:b w:val="0"/>
          <w:bCs w:val="0"/>
          <w:highlight w:val="none"/>
        </w:rPr>
        <w:t>%。项目产出类指标权重为40分，得分为</w:t>
      </w:r>
      <w:r>
        <w:rPr>
          <w:rFonts w:hint="eastAsia" w:ascii="Times New Roman" w:hAnsi="Times New Roman" w:eastAsia="仿宋_GB2312"/>
          <w:b w:val="0"/>
          <w:bCs w:val="0"/>
          <w:highlight w:val="none"/>
          <w:lang w:val="en-US" w:eastAsia="zh-CN"/>
        </w:rPr>
        <w:t>39.11</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97.78</w:t>
      </w:r>
      <w:r>
        <w:rPr>
          <w:rFonts w:hint="eastAsia" w:ascii="Times New Roman" w:hAnsi="Times New Roman" w:eastAsia="仿宋_GB2312"/>
          <w:b w:val="0"/>
          <w:bCs w:val="0"/>
          <w:highlight w:val="none"/>
        </w:rPr>
        <w:t>%。项目效益类指标权重为20分，得分为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%。具体</w:t>
      </w:r>
      <w:r>
        <w:rPr>
          <w:rFonts w:hint="eastAsia" w:ascii="Times New Roman" w:hAnsi="Times New Roman" w:eastAsia="仿宋_GB2312"/>
          <w:b w:val="0"/>
          <w:bCs w:val="0"/>
        </w:rPr>
        <w:t>打分情况详见：附件1综合评分表</w:t>
      </w:r>
      <w:r>
        <w:rPr>
          <w:rFonts w:hint="eastAsia" w:ascii="Times New Roman" w:hAnsi="Times New Roman" w:eastAsia="仿宋_GB2312"/>
          <w:b w:val="0"/>
          <w:bCs w:val="0"/>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rPr>
      </w:pPr>
      <w:r>
        <w:rPr>
          <w:rFonts w:ascii="Times New Roman" w:hAnsi="Times New Roman" w:eastAsia="仿宋_GB2312"/>
          <w:sz w:val="30"/>
          <w:szCs w:val="30"/>
        </w:rPr>
        <w:t>表1综合评分表</w:t>
      </w:r>
      <w:bookmarkStart w:id="9" w:name="_GoBack"/>
      <w:bookmarkEnd w:id="9"/>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39.11</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99.11</w:t>
            </w:r>
          </w:p>
        </w:tc>
      </w:tr>
    </w:tbl>
    <w:p>
      <w:pPr>
        <w:spacing w:line="560" w:lineRule="exact"/>
        <w:ind w:firstLine="640" w:firstLineChars="200"/>
        <w:rPr>
          <w:rFonts w:eastAsia="黑体"/>
          <w:sz w:val="32"/>
          <w:szCs w:val="32"/>
        </w:rPr>
      </w:pPr>
      <w:r>
        <w:rPr>
          <w:rFonts w:eastAsia="黑体"/>
          <w:sz w:val="32"/>
          <w:szCs w:val="32"/>
        </w:rPr>
        <w:t>四、绩效评价指标分析</w:t>
      </w:r>
    </w:p>
    <w:p>
      <w:pPr>
        <w:pStyle w:val="2"/>
        <w:spacing w:before="0" w:after="0" w:line="560" w:lineRule="exact"/>
        <w:ind w:firstLine="643" w:firstLineChars="200"/>
        <w:jc w:val="both"/>
        <w:rPr>
          <w:rFonts w:ascii="Times New Roman" w:hAnsi="Times New Roman" w:eastAsia="楷体_GB2312"/>
        </w:rPr>
      </w:pPr>
      <w:r>
        <w:rPr>
          <w:rFonts w:ascii="Times New Roman" w:hAnsi="Times New Roman" w:eastAsia="楷体_GB2312"/>
        </w:rPr>
        <w:t>（一）项目决策情况</w:t>
      </w:r>
    </w:p>
    <w:p>
      <w:pPr>
        <w:shd w:val="clear"/>
        <w:spacing w:line="600" w:lineRule="exact"/>
        <w:ind w:firstLine="600" w:firstLineChars="200"/>
        <w:outlineLvl w:val="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项目决策类指标包括项目立项、绩效目标和资金投入三方面的内容，由6个三级指标构成，权重分值为20分，实际得分20分，得分率为100%。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严格按照审批流程准备符合要求的文件、材料；</w:t>
      </w:r>
      <w:r>
        <w:rPr>
          <w:rFonts w:hint="eastAsia" w:ascii="仿宋_GB2312" w:hAnsi="仿宋_GB2312" w:eastAsia="仿宋_GB2312" w:cs="仿宋_GB2312"/>
          <w:sz w:val="32"/>
          <w:szCs w:val="32"/>
          <w:lang w:val="en-US" w:eastAsia="zh-CN"/>
        </w:rPr>
        <w:t>根据决算依据编制工作计划和经费预算，经过与部门项目分管领导沟通、筛选确定经费预算计划，确定最终预算方案。项目的审批文件、材料符合相关要求，项目事前经过必要的可行性研究、专家论证、风险评估、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年初结合实际工作内容</w:t>
      </w:r>
      <w:r>
        <w:rPr>
          <w:rFonts w:hint="eastAsia" w:ascii="仿宋_GB2312" w:hAnsi="仿宋_GB2312" w:eastAsia="仿宋_GB2312" w:cs="仿宋_GB2312"/>
          <w:sz w:val="32"/>
          <w:szCs w:val="32"/>
          <w:lang w:val="en-US" w:eastAsia="zh-CN"/>
        </w:rPr>
        <w:t>设定绩效目标</w:t>
      </w:r>
      <w:r>
        <w:rPr>
          <w:rFonts w:hint="eastAsia" w:ascii="仿宋_GB2312" w:hAnsi="仿宋_GB2312" w:eastAsia="仿宋_GB2312" w:cs="仿宋_GB2312"/>
          <w:sz w:val="32"/>
          <w:szCs w:val="32"/>
          <w:lang w:val="en-US" w:eastAsia="zh-Hans"/>
        </w:rPr>
        <w:t>，绩效目标</w:t>
      </w:r>
      <w:r>
        <w:rPr>
          <w:rFonts w:hint="eastAsia" w:ascii="仿宋_GB2312" w:hAnsi="仿宋_GB2312" w:eastAsia="仿宋_GB2312" w:cs="仿宋_GB2312"/>
          <w:sz w:val="32"/>
          <w:szCs w:val="32"/>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（1）预算编制科学性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预算编制经过科学论证，提供充分的测算依据佐证资料，预算内容与项目内容相匹配。项目投资额与工作任务相匹配。</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资金分配额度与项目单位实际工作内容相适应，资金分配额度合理，资金分配依据充分。</w:t>
      </w:r>
    </w:p>
    <w:p>
      <w:pPr>
        <w:pStyle w:val="2"/>
        <w:numPr>
          <w:ilvl w:val="0"/>
          <w:numId w:val="5"/>
        </w:numPr>
        <w:spacing w:before="0" w:after="0" w:line="560" w:lineRule="exact"/>
        <w:ind w:firstLine="643" w:firstLineChars="200"/>
        <w:jc w:val="both"/>
        <w:rPr>
          <w:rFonts w:ascii="楷体" w:hAnsi="楷体" w:eastAsia="楷体" w:cs="楷体"/>
        </w:rPr>
      </w:pPr>
      <w:r>
        <w:rPr>
          <w:rFonts w:hint="eastAsia" w:ascii="楷体" w:hAnsi="楷体" w:eastAsia="楷体" w:cs="楷体"/>
        </w:rPr>
        <w:t>项目过程情况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项目过程类指标包括资金管理和组织实施两方面的内容，</w:t>
      </w:r>
      <w:r>
        <w:rPr>
          <w:rFonts w:hint="eastAsia" w:ascii="仿宋_GB2312" w:hAnsi="仿宋_GB2312" w:eastAsia="仿宋_GB2312" w:cs="仿宋_GB2312"/>
          <w:sz w:val="32"/>
          <w:szCs w:val="32"/>
          <w:highlight w:val="none"/>
          <w:lang w:val="en-US" w:eastAsia="zh-CN"/>
        </w:rPr>
        <w:t>由5个三级指标构成，权重分值为20分，实际得分18分，得分率为90%。</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本项目总投资250万元，财政资金及时足额到位，到位率100%，预算资金按计划进度执行。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预算编制较为详细，项目资金支出总体能够按照预算执行，预算资金支出248万元，预算执行率为99.2%。</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（2）制度执行有效性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对资金使用的合法合规性进行监督，年末对资金使用效果进行评价。项目管理、实施人员落实到位，有效按照计划执行。项目执行情况等资料齐全，项目相关手续完备，及时进行归档。</w:t>
      </w:r>
    </w:p>
    <w:p>
      <w:pPr>
        <w:pStyle w:val="11"/>
        <w:numPr>
          <w:ilvl w:val="0"/>
          <w:numId w:val="5"/>
        </w:numPr>
        <w:spacing w:line="560" w:lineRule="exact"/>
        <w:ind w:firstLine="643"/>
        <w:rPr>
          <w:rFonts w:eastAsia="楷体_GB2312"/>
          <w:b/>
          <w:bCs/>
          <w:sz w:val="32"/>
          <w:szCs w:val="32"/>
        </w:rPr>
      </w:pPr>
      <w:r>
        <w:rPr>
          <w:rFonts w:eastAsia="楷体_GB2312"/>
          <w:b/>
          <w:bCs/>
          <w:sz w:val="32"/>
          <w:szCs w:val="32"/>
        </w:rPr>
        <w:t>项目产出</w:t>
      </w:r>
      <w:r>
        <w:rPr>
          <w:rFonts w:hint="eastAsia" w:eastAsia="楷体_GB2312"/>
          <w:b/>
          <w:bCs/>
          <w:sz w:val="32"/>
          <w:szCs w:val="32"/>
          <w:lang w:val="en-US" w:eastAsia="zh-CN"/>
        </w:rPr>
        <w:t>情况</w:t>
      </w:r>
    </w:p>
    <w:p>
      <w:pPr>
        <w:shd w:val="clea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项目产出类指标包括产出数量、产出质量、产出时效、产</w:t>
      </w:r>
      <w:r>
        <w:rPr>
          <w:rFonts w:hint="eastAsia" w:ascii="仿宋_GB2312" w:hAnsi="仿宋_GB2312" w:eastAsia="仿宋_GB2312" w:cs="仿宋_GB2312"/>
          <w:sz w:val="32"/>
          <w:szCs w:val="32"/>
          <w:highlight w:val="none"/>
          <w:lang w:val="en-US" w:eastAsia="zh-CN"/>
        </w:rPr>
        <w:t>出成本四方面的内容，由10个三级指标构成，权重分为40分，实际得分39.11分，得分率为97.78%。</w:t>
      </w:r>
      <w:r>
        <w:rPr>
          <w:rFonts w:hint="eastAsia" w:ascii="仿宋_GB2312" w:hAnsi="仿宋_GB2312" w:eastAsia="仿宋_GB2312" w:cs="仿宋_GB2312"/>
          <w:sz w:val="32"/>
          <w:szCs w:val="32"/>
          <w:lang w:val="en-US" w:eastAsia="zh-CN"/>
        </w:rPr>
        <w:t>具体产出指标完成情况如下：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shd w:val="clear"/>
        <w:spacing w:line="600" w:lineRule="exact"/>
        <w:ind w:firstLine="640" w:firstLineChars="200"/>
        <w:outlineLvl w:val="0"/>
      </w:pPr>
      <w:r>
        <w:rPr>
          <w:rFonts w:hint="eastAsia" w:ascii="仿宋_GB2312" w:hAnsi="仿宋_GB2312" w:eastAsia="仿宋_GB2312" w:cs="仿宋_GB2312"/>
          <w:sz w:val="32"/>
          <w:szCs w:val="32"/>
          <w:highlight w:val="none"/>
        </w:rPr>
        <w:t xml:space="preserve">指标1：小型演出场次 ，指标值120场，实际完成值：229场 ，指标完成率 </w:t>
      </w:r>
      <w:r>
        <w:rPr>
          <w:rFonts w:hint="eastAsia" w:ascii="仿宋_GB2312" w:hAnsi="仿宋_GB2312" w:eastAsia="仿宋_GB2312" w:cs="仿宋_GB2312"/>
          <w:sz w:val="32"/>
          <w:szCs w:val="32"/>
          <w:highlight w:val="none"/>
          <w:lang w:val="en-US" w:eastAsia="zh-CN"/>
        </w:rPr>
        <w:t>190.83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，偏差原因：</w:t>
      </w:r>
      <w:r>
        <w:rPr>
          <w:rFonts w:hint="eastAsia" w:ascii="仿宋_GB2312" w:hAnsi="仿宋_GB2312" w:eastAsia="仿宋_GB2312" w:cs="仿宋_GB2312"/>
          <w:sz w:val="32"/>
          <w:szCs w:val="32"/>
          <w:highlight w:val="none"/>
          <w:lang w:val="en-US" w:eastAsia="zh-CN"/>
        </w:rPr>
        <w:t>节目受欢迎，惠民演出场次增加</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指标2：</w:t>
      </w:r>
      <w:r>
        <w:rPr>
          <w:rFonts w:hint="eastAsia" w:ascii="仿宋_GB2312" w:hAnsi="仿宋_GB2312" w:eastAsia="仿宋_GB2312" w:cs="仿宋_GB2312"/>
          <w:sz w:val="32"/>
          <w:szCs w:val="32"/>
          <w:highlight w:val="none"/>
          <w:lang w:val="en-US" w:eastAsia="zh-CN"/>
        </w:rPr>
        <w:t>设备购置数量</w:t>
      </w:r>
      <w:r>
        <w:rPr>
          <w:rFonts w:hint="eastAsia" w:ascii="仿宋_GB2312" w:hAnsi="仿宋_GB2312" w:eastAsia="仿宋_GB2312" w:cs="仿宋_GB2312"/>
          <w:sz w:val="32"/>
          <w:szCs w:val="32"/>
          <w:highlight w:val="none"/>
        </w:rPr>
        <w:t xml:space="preserve"> ，指标值：4台 ，实际完成值： 1台 ，指标完成率 </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。偏差原因：资金用于弥补人员经费。</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弥补人员数量</w:t>
      </w:r>
      <w:r>
        <w:rPr>
          <w:rFonts w:hint="eastAsia" w:ascii="仿宋_GB2312" w:hAnsi="仿宋_GB2312" w:eastAsia="仿宋_GB2312" w:cs="仿宋_GB2312"/>
          <w:sz w:val="32"/>
          <w:szCs w:val="32"/>
          <w:highlight w:val="none"/>
        </w:rPr>
        <w:t xml:space="preserve"> ，指标值：137人，实际完成值： 137人 ，指标完成率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p>
    <w:p>
      <w:pPr>
        <w:shd w:val="clear"/>
        <w:spacing w:line="600" w:lineRule="exact"/>
        <w:outlineLvl w:val="0"/>
        <w:rPr>
          <w:rFonts w:hint="default" w:ascii="仿宋_GB2312" w:hAnsi="仿宋_GB2312" w:eastAsia="仿宋_GB2312" w:cs="仿宋_GB2312"/>
          <w:sz w:val="32"/>
          <w:szCs w:val="32"/>
          <w:highlight w:val="none"/>
          <w:lang w:val="en-US" w:eastAsia="zh-CN"/>
        </w:rPr>
      </w:pP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质量指标：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指标1：政府采购率 ，指标值：≥95% ，实际完成值：95% ，指标完成率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：设备验收合格率 ，指标值：≥95% ，实际完成值：95% ，指标完成率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：设备质量合格率 ，指标值：≥95% ，实际完成值：95% ，指标完成率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指标1：人员经费发放及时率，指标值：≥95% ，实际完成值：95% ，指标完成率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420" w:firstLineChars="200"/>
        <w:outlineLvl w:val="0"/>
        <w:rPr>
          <w:rFonts w:hint="default"/>
          <w:lang w:val="en-US" w:eastAsia="zh-CN"/>
        </w:rPr>
      </w:pPr>
      <w:r>
        <w:rPr>
          <w:rFonts w:hint="eastAsia"/>
          <w:lang w:val="en-US" w:eastAsia="zh-CN"/>
        </w:rPr>
        <w:t xml:space="preserve">    </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：演出活动按时完成率 ，指标值：≥</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，实际完成值：</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4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指标1：弥补人员经费，指标值：237.6万元 ，实际完成值：237.6万元，指标完成率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：弥补日常公用经费，指标值：12.4万元 ，实际完成值：10.4万元，指标完成率</w:t>
      </w:r>
      <w:r>
        <w:rPr>
          <w:rFonts w:hint="eastAsia" w:ascii="仿宋_GB2312" w:hAnsi="仿宋_GB2312" w:eastAsia="仿宋_GB2312" w:cs="仿宋_GB2312"/>
          <w:sz w:val="32"/>
          <w:szCs w:val="32"/>
          <w:highlight w:val="none"/>
          <w:lang w:val="en-US" w:eastAsia="zh-CN"/>
        </w:rPr>
        <w:t>83.87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偏差原因是：由于政府采购流程未完成，导致支付时间截止。</w:t>
      </w:r>
    </w:p>
    <w:p>
      <w:pPr>
        <w:pStyle w:val="2"/>
        <w:jc w:val="both"/>
        <w:rPr>
          <w:rFonts w:hint="eastAsia"/>
          <w:lang w:eastAsia="zh-CN"/>
        </w:rPr>
      </w:pPr>
    </w:p>
    <w:p>
      <w:pPr>
        <w:pStyle w:val="11"/>
        <w:numPr>
          <w:ilvl w:val="0"/>
          <w:numId w:val="5"/>
        </w:numPr>
        <w:spacing w:line="560" w:lineRule="exact"/>
        <w:ind w:firstLine="643"/>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项目效益类指标包括项目实施效益和满意度两方面的内</w:t>
      </w:r>
      <w:r>
        <w:rPr>
          <w:rFonts w:hint="eastAsia" w:ascii="仿宋_GB2312" w:hAnsi="仿宋_GB2312" w:eastAsia="仿宋_GB2312" w:cs="仿宋_GB2312"/>
          <w:sz w:val="32"/>
          <w:szCs w:val="32"/>
          <w:highlight w:val="none"/>
          <w:lang w:val="en-US" w:eastAsia="zh-CN"/>
        </w:rPr>
        <w:t>容，由3个三级指标构成，权重分为20分，实际得分20分，得分率为100%。</w:t>
      </w:r>
      <w:r>
        <w:rPr>
          <w:rFonts w:hint="eastAsia" w:ascii="仿宋_GB2312" w:hAnsi="仿宋_GB2312" w:eastAsia="仿宋_GB2312" w:cs="仿宋_GB2312"/>
          <w:sz w:val="32"/>
          <w:szCs w:val="32"/>
          <w:lang w:val="en-US" w:eastAsia="zh-CN"/>
        </w:rPr>
        <w:t>具体效益指标及满意度指标完成情况如下：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经济效益指标：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：设备利用率，指标值：≥95% ，实际完成值：95%，指标完成率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②</w:t>
      </w:r>
      <w:r>
        <w:rPr>
          <w:rFonts w:hint="eastAsia" w:ascii="仿宋_GB2312" w:hAnsi="仿宋_GB2312" w:eastAsia="仿宋_GB2312" w:cs="仿宋_GB2312"/>
          <w:sz w:val="32"/>
          <w:szCs w:val="32"/>
          <w:highlight w:val="none"/>
        </w:rPr>
        <w:t>社会效益指标：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：提高各群众精神文化生活水平，指标值：显著提升 ，实际完成值：100%，指标完成率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：群众满意度，指标值：≥90% ，实际完成值：</w:t>
      </w:r>
      <w:r>
        <w:rPr>
          <w:rFonts w:hint="eastAsia" w:ascii="仿宋_GB2312" w:hAnsi="仿宋_GB2312"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lang w:eastAsia="zh-CN"/>
        </w:rPr>
        <w:t>。</w:t>
      </w:r>
    </w:p>
    <w:p>
      <w:pPr>
        <w:pStyle w:val="2"/>
        <w:rPr>
          <w:rFonts w:hint="default"/>
          <w:lang w:val="en-US" w:eastAsia="zh-CN"/>
        </w:rPr>
      </w:pPr>
    </w:p>
    <w:p>
      <w:pPr>
        <w:spacing w:line="560" w:lineRule="exact"/>
        <w:ind w:firstLine="640" w:firstLineChars="200"/>
        <w:rPr>
          <w:rFonts w:hint="eastAsia" w:ascii="Times New Roman" w:hAnsi="Times New Roman" w:eastAsia="黑体" w:cs="Times New Roman"/>
          <w:sz w:val="32"/>
          <w:szCs w:val="32"/>
          <w:lang w:eastAsia="zh-Hans"/>
        </w:rPr>
      </w:pPr>
      <w:r>
        <w:rPr>
          <w:rFonts w:hint="eastAsia" w:ascii="Times New Roman" w:hAnsi="Times New Roman" w:eastAsia="黑体" w:cs="Times New Roman"/>
          <w:sz w:val="32"/>
          <w:szCs w:val="32"/>
          <w:lang w:eastAsia="zh-Hans"/>
        </w:rPr>
        <w:t>五、预算执行进度与绩效指标总体完成率偏差</w:t>
      </w:r>
    </w:p>
    <w:p>
      <w:pPr>
        <w:pStyle w:val="18"/>
        <w:spacing w:line="560" w:lineRule="exact"/>
        <w:ind w:firstLine="640"/>
        <w:rPr>
          <w:rFonts w:hint="eastAsia" w:eastAsia="宋体" w:cs="方正仿宋_GBK"/>
          <w:sz w:val="32"/>
          <w:szCs w:val="32"/>
          <w:highlight w:val="none"/>
          <w:lang w:val="en-US" w:eastAsia="zh-CN"/>
        </w:rPr>
      </w:pPr>
      <w:r>
        <w:rPr>
          <w:rFonts w:hint="eastAsia" w:eastAsia="方正仿宋_GBK" w:cs="方正仿宋_GBK"/>
          <w:sz w:val="32"/>
          <w:szCs w:val="32"/>
          <w:highlight w:val="none"/>
          <w:lang w:val="en-US" w:eastAsia="zh-CN"/>
        </w:rPr>
        <w:t>自治区本级政府购买演出</w:t>
      </w:r>
      <w:r>
        <w:rPr>
          <w:rFonts w:hint="eastAsia" w:eastAsia="方正仿宋_GBK" w:cs="方正仿宋_GBK"/>
          <w:sz w:val="32"/>
          <w:szCs w:val="32"/>
          <w:highlight w:val="none"/>
        </w:rPr>
        <w:t>项目年初预算</w:t>
      </w:r>
      <w:r>
        <w:rPr>
          <w:rFonts w:hint="eastAsia" w:eastAsia="方正仿宋_GBK" w:cs="方正仿宋_GBK"/>
          <w:sz w:val="32"/>
          <w:szCs w:val="32"/>
          <w:highlight w:val="none"/>
          <w:lang w:val="en-US" w:eastAsia="zh-CN"/>
        </w:rPr>
        <w:t>250</w:t>
      </w:r>
      <w:r>
        <w:rPr>
          <w:rFonts w:hint="eastAsia" w:eastAsia="方正仿宋_GBK" w:cs="方正仿宋_GBK"/>
          <w:sz w:val="32"/>
          <w:szCs w:val="32"/>
          <w:highlight w:val="none"/>
        </w:rPr>
        <w:t>万元，全年预算</w:t>
      </w:r>
      <w:r>
        <w:rPr>
          <w:rFonts w:hint="eastAsia" w:eastAsia="方正仿宋_GBK" w:cs="方正仿宋_GBK"/>
          <w:sz w:val="32"/>
          <w:szCs w:val="32"/>
          <w:highlight w:val="none"/>
          <w:lang w:val="en-US" w:eastAsia="zh-CN"/>
        </w:rPr>
        <w:t>250</w:t>
      </w:r>
      <w:r>
        <w:rPr>
          <w:rFonts w:hint="eastAsia" w:eastAsia="方正仿宋_GBK" w:cs="方正仿宋_GBK"/>
          <w:sz w:val="32"/>
          <w:szCs w:val="32"/>
          <w:highlight w:val="none"/>
        </w:rPr>
        <w:t>万元，实际支出</w:t>
      </w:r>
      <w:r>
        <w:rPr>
          <w:rFonts w:hint="eastAsia" w:eastAsia="方正仿宋_GBK" w:cs="方正仿宋_GBK"/>
          <w:sz w:val="32"/>
          <w:szCs w:val="32"/>
          <w:highlight w:val="none"/>
          <w:lang w:val="en-US" w:eastAsia="zh-CN"/>
        </w:rPr>
        <w:t>248</w:t>
      </w:r>
      <w:r>
        <w:rPr>
          <w:rFonts w:hint="eastAsia" w:eastAsia="方正仿宋_GBK" w:cs="方正仿宋_GBK"/>
          <w:sz w:val="32"/>
          <w:szCs w:val="32"/>
          <w:highlight w:val="none"/>
        </w:rPr>
        <w:t>万元，预算执行率为</w:t>
      </w:r>
      <w:r>
        <w:rPr>
          <w:rFonts w:hint="eastAsia" w:eastAsia="方正仿宋_GBK" w:cs="方正仿宋_GBK"/>
          <w:sz w:val="32"/>
          <w:szCs w:val="32"/>
          <w:highlight w:val="none"/>
          <w:lang w:val="en-US" w:eastAsia="zh-CN"/>
        </w:rPr>
        <w:t>99.2</w:t>
      </w:r>
      <w:r>
        <w:rPr>
          <w:rFonts w:hint="eastAsia" w:eastAsia="方正仿宋_GBK" w:cs="方正仿宋_GBK"/>
          <w:sz w:val="32"/>
          <w:szCs w:val="32"/>
          <w:highlight w:val="none"/>
        </w:rPr>
        <w:t>%，项目绩效指标总体完成率为</w:t>
      </w:r>
      <w:r>
        <w:rPr>
          <w:rFonts w:hint="eastAsia" w:eastAsia="方正仿宋_GBK" w:cs="方正仿宋_GBK"/>
          <w:sz w:val="32"/>
          <w:szCs w:val="32"/>
          <w:highlight w:val="none"/>
          <w:lang w:val="en-US" w:eastAsia="zh-CN"/>
        </w:rPr>
        <w:t>99.98</w:t>
      </w:r>
      <w:r>
        <w:rPr>
          <w:rFonts w:hint="eastAsia" w:eastAsia="方正仿宋_GBK" w:cs="方正仿宋_GBK"/>
          <w:sz w:val="32"/>
          <w:szCs w:val="32"/>
          <w:highlight w:val="none"/>
        </w:rPr>
        <w:t>%，</w:t>
      </w:r>
      <w:r>
        <w:rPr>
          <w:rFonts w:hint="eastAsia" w:eastAsia="方正仿宋_GBK" w:cs="方正仿宋_GBK"/>
          <w:sz w:val="32"/>
          <w:szCs w:val="32"/>
          <w:highlight w:val="none"/>
          <w:lang w:eastAsia="zh-Hans"/>
        </w:rPr>
        <w:t>总体</w:t>
      </w:r>
      <w:r>
        <w:rPr>
          <w:rFonts w:hint="eastAsia" w:eastAsia="方正仿宋_GBK" w:cs="方正仿宋_GBK"/>
          <w:sz w:val="32"/>
          <w:szCs w:val="32"/>
          <w:highlight w:val="none"/>
        </w:rPr>
        <w:t>偏差率为</w:t>
      </w:r>
      <w:r>
        <w:rPr>
          <w:rFonts w:hint="eastAsia" w:eastAsia="方正仿宋_GBK" w:cs="方正仿宋_GBK"/>
          <w:sz w:val="32"/>
          <w:szCs w:val="32"/>
          <w:highlight w:val="none"/>
          <w:lang w:val="en-US" w:eastAsia="zh-CN"/>
        </w:rPr>
        <w:t>0.78</w:t>
      </w:r>
      <w:r>
        <w:rPr>
          <w:rFonts w:hint="eastAsia" w:eastAsia="方正仿宋_GBK" w:cs="方正仿宋_GBK"/>
          <w:sz w:val="32"/>
          <w:szCs w:val="32"/>
          <w:highlight w:val="none"/>
        </w:rPr>
        <w:t>%</w:t>
      </w:r>
      <w:r>
        <w:rPr>
          <w:rFonts w:hint="eastAsia"/>
          <w:highlight w:val="none"/>
          <w:lang w:val="en-US" w:eastAsia="zh-CN"/>
        </w:rPr>
        <w:t>。</w:t>
      </w:r>
      <w:r>
        <w:rPr>
          <w:rFonts w:hint="eastAsia" w:eastAsia="方正仿宋_GBK" w:cs="方正仿宋_GBK"/>
          <w:sz w:val="32"/>
          <w:szCs w:val="32"/>
          <w:highlight w:val="none"/>
          <w:lang w:val="en-US" w:eastAsia="zh-CN"/>
        </w:rPr>
        <w:t>偏差原因及改进措施</w:t>
      </w:r>
      <w:r>
        <w:rPr>
          <w:rFonts w:hint="eastAsia" w:eastAsia="方正仿宋_GBK" w:cs="方正仿宋_GBK"/>
          <w:sz w:val="32"/>
          <w:szCs w:val="32"/>
          <w:highlight w:val="none"/>
          <w:lang w:eastAsia="zh-CN"/>
        </w:rPr>
        <w:t>：</w:t>
      </w:r>
      <w:r>
        <w:rPr>
          <w:rFonts w:hint="eastAsia" w:eastAsia="方正仿宋_GBK" w:cs="方正仿宋_GBK"/>
          <w:sz w:val="32"/>
          <w:szCs w:val="32"/>
          <w:highlight w:val="none"/>
          <w:lang w:val="en-US" w:eastAsia="zh-CN"/>
        </w:rPr>
        <w:t>由于政府采购流程未完成，导致支付时间截止。今后提前完成政府采购流程和手续，保证资金按时支付。</w:t>
      </w:r>
    </w:p>
    <w:p>
      <w:pPr>
        <w:spacing w:line="560" w:lineRule="exact"/>
        <w:ind w:firstLine="640" w:firstLineChars="200"/>
        <w:rPr>
          <w:rStyle w:val="17"/>
          <w:rFonts w:ascii="Times New Roman" w:hAnsi="Times New Roman" w:cs="Times New Roman"/>
          <w:color w:val="auto"/>
        </w:rPr>
      </w:pPr>
      <w:r>
        <w:rPr>
          <w:rFonts w:hint="eastAsia" w:eastAsia="黑体"/>
          <w:sz w:val="32"/>
          <w:szCs w:val="32"/>
          <w:lang w:eastAsia="zh-Hans"/>
        </w:rPr>
        <w:t>六</w:t>
      </w:r>
      <w:r>
        <w:rPr>
          <w:rFonts w:eastAsia="黑体"/>
          <w:sz w:val="32"/>
          <w:szCs w:val="32"/>
        </w:rPr>
        <w:t>、主要经验及做法、存在的问题及原因分析</w:t>
      </w:r>
    </w:p>
    <w:p>
      <w:pPr>
        <w:spacing w:line="560" w:lineRule="exact"/>
        <w:ind w:firstLine="627" w:firstLineChars="200"/>
        <w:rPr>
          <w:rFonts w:eastAsia="楷体"/>
          <w:b/>
          <w:spacing w:val="-4"/>
          <w:sz w:val="32"/>
          <w:szCs w:val="32"/>
        </w:rPr>
      </w:pPr>
      <w:r>
        <w:rPr>
          <w:rFonts w:eastAsia="楷体"/>
          <w:b/>
          <w:spacing w:val="-4"/>
          <w:sz w:val="32"/>
          <w:szCs w:val="32"/>
        </w:rPr>
        <w:t>（一）主要经验及做法</w:t>
      </w:r>
    </w:p>
    <w:p>
      <w:pPr>
        <w:spacing w:line="560" w:lineRule="exact"/>
        <w:ind w:firstLine="640" w:firstLineChars="200"/>
        <w:rPr>
          <w:rFonts w:eastAsia="仿宋_GB2312"/>
          <w:sz w:val="32"/>
          <w:szCs w:val="32"/>
        </w:rPr>
      </w:pPr>
      <w:r>
        <w:rPr>
          <w:rFonts w:eastAsia="仿宋_GB2312"/>
          <w:sz w:val="32"/>
          <w:szCs w:val="32"/>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spacing w:before="0" w:after="0" w:line="560" w:lineRule="exact"/>
        <w:ind w:firstLine="640" w:firstLineChars="200"/>
        <w:jc w:val="left"/>
        <w:rPr>
          <w:rFonts w:ascii="Times New Roman" w:hAnsi="Times New Roman" w:eastAsia="仿宋_GB2312"/>
          <w:b w:val="0"/>
          <w:bCs w:val="0"/>
          <w:kern w:val="2"/>
        </w:rPr>
      </w:pPr>
      <w:r>
        <w:rPr>
          <w:rFonts w:ascii="Times New Roman" w:hAnsi="Times New Roman" w:eastAsia="仿宋_GB2312"/>
          <w:b w:val="0"/>
          <w:bCs w:val="0"/>
          <w:kern w:val="2"/>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6"/>
        </w:numPr>
        <w:spacing w:line="560" w:lineRule="exact"/>
        <w:ind w:firstLine="643" w:firstLineChars="200"/>
        <w:rPr>
          <w:rFonts w:eastAsia="楷体_GB2312"/>
          <w:b/>
          <w:bCs/>
          <w:sz w:val="32"/>
          <w:szCs w:val="32"/>
        </w:rPr>
      </w:pPr>
      <w:r>
        <w:rPr>
          <w:rFonts w:eastAsia="楷体_GB2312"/>
          <w:b/>
          <w:bCs/>
          <w:sz w:val="32"/>
          <w:szCs w:val="32"/>
        </w:rPr>
        <w:t>存在的问题及原因分析</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pacing w:line="560" w:lineRule="exact"/>
        <w:ind w:firstLine="640" w:firstLineChars="200"/>
        <w:rPr>
          <w:rFonts w:eastAsia="黑体"/>
          <w:sz w:val="32"/>
          <w:szCs w:val="32"/>
        </w:rPr>
      </w:pPr>
      <w:r>
        <w:rPr>
          <w:rFonts w:hint="eastAsia" w:eastAsia="黑体"/>
          <w:sz w:val="32"/>
          <w:szCs w:val="32"/>
          <w:lang w:eastAsia="zh-Hans"/>
        </w:rPr>
        <w:t>七、</w:t>
      </w:r>
      <w:r>
        <w:rPr>
          <w:rFonts w:eastAsia="黑体"/>
          <w:sz w:val="32"/>
          <w:szCs w:val="32"/>
        </w:rPr>
        <w:t>有关建议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1.多进行有关绩效管理工作方面的培训。积极组织第三方开展绩效管理工作培训，进一步夯实业务基础，提高我单位绩效人员水平。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hd w:val="clear"/>
        <w:spacing w:line="600" w:lineRule="exact"/>
        <w:ind w:firstLine="640" w:firstLineChars="200"/>
        <w:outlineLvl w:val="0"/>
        <w:rPr>
          <w:sz w:val="22"/>
          <w:szCs w:val="28"/>
        </w:rPr>
      </w:pPr>
      <w:r>
        <w:rPr>
          <w:rFonts w:hint="eastAsia" w:ascii="仿宋_GB2312" w:hAnsi="仿宋_GB2312" w:eastAsia="仿宋_GB2312" w:cs="仿宋_GB2312"/>
          <w:sz w:val="32"/>
          <w:szCs w:val="32"/>
          <w:highlight w:val="none"/>
          <w:lang w:val="en-US" w:eastAsia="zh-CN"/>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_GB2312" w:hAnsi="仿宋_GB2312" w:eastAsia="仿宋_GB2312" w:cs="仿宋_GB2312"/>
          <w:sz w:val="36"/>
          <w:szCs w:val="32"/>
        </w:rPr>
        <w:t>。</w:t>
      </w:r>
    </w:p>
    <w:p>
      <w:pPr>
        <w:spacing w:line="560" w:lineRule="exact"/>
        <w:ind w:firstLine="640" w:firstLineChars="200"/>
        <w:rPr>
          <w:rFonts w:eastAsia="黑体"/>
          <w:sz w:val="32"/>
          <w:szCs w:val="32"/>
        </w:rPr>
      </w:pPr>
      <w:r>
        <w:rPr>
          <w:rFonts w:hint="eastAsia" w:eastAsia="黑体"/>
          <w:sz w:val="32"/>
          <w:szCs w:val="32"/>
          <w:lang w:eastAsia="zh-Hans"/>
        </w:rPr>
        <w:t>八、</w:t>
      </w:r>
      <w:r>
        <w:rPr>
          <w:rFonts w:eastAsia="黑体"/>
          <w:sz w:val="32"/>
          <w:szCs w:val="32"/>
        </w:rPr>
        <w:t>其他需要说</w:t>
      </w:r>
      <w:bookmarkStart w:id="6" w:name="page8"/>
      <w:bookmarkEnd w:id="6"/>
      <w:r>
        <w:rPr>
          <w:rFonts w:eastAsia="黑体"/>
          <w:sz w:val="32"/>
          <w:szCs w:val="32"/>
        </w:rPr>
        <w:t>明的问题</w:t>
      </w:r>
    </w:p>
    <w:p>
      <w:pPr>
        <w:pStyle w:val="12"/>
        <w:spacing w:after="0" w:line="56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本项目无其他需说明的问题。</w:t>
      </w: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0" w:firstLineChars="0"/>
        <w:rPr>
          <w:rFonts w:ascii="仿宋_GB2312" w:hAnsi="仿宋_GB2312" w:eastAsia="仿宋_GB2312" w:cs="仿宋_GB2312"/>
          <w:sz w:val="32"/>
          <w:szCs w:val="32"/>
        </w:rPr>
      </w:pPr>
    </w:p>
    <w:p>
      <w:pPr>
        <w:widowControl/>
        <w:jc w:val="center"/>
        <w:textAlignment w:val="center"/>
        <w:rPr>
          <w:rFonts w:eastAsia="方正小标宋简体"/>
          <w:b/>
          <w:kern w:val="0"/>
          <w:sz w:val="32"/>
          <w:szCs w:val="32"/>
          <w:lang w:bidi="ar"/>
        </w:rPr>
        <w:sectPr>
          <w:pgSz w:w="11906" w:h="16838"/>
          <w:pgMar w:top="1440" w:right="1558" w:bottom="1440" w:left="1800" w:header="851" w:footer="992" w:gutter="0"/>
          <w:cols w:space="425" w:num="1"/>
          <w:docGrid w:type="lines" w:linePitch="312" w:charSpace="0"/>
        </w:sectPr>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8"/>
        <w:gridCol w:w="925"/>
        <w:gridCol w:w="1215"/>
        <w:gridCol w:w="525"/>
        <w:gridCol w:w="691"/>
        <w:gridCol w:w="527"/>
        <w:gridCol w:w="833"/>
        <w:gridCol w:w="816"/>
        <w:gridCol w:w="525"/>
        <w:gridCol w:w="2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00" w:type="pct"/>
            <w:gridSpan w:val="10"/>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17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自治区本级政府购买演出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w:t>
            </w:r>
          </w:p>
        </w:tc>
        <w:tc>
          <w:tcPr>
            <w:tcW w:w="21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新疆艺术剧院</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新疆艺术剧院杂技团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9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年初预算数</w:t>
            </w:r>
          </w:p>
        </w:tc>
        <w:tc>
          <w:tcPr>
            <w:tcW w:w="7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全年预算数</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全年执行数</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年度资金总额</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7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其中：当年财政拨款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7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上年结转资金</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年度总体目标</w:t>
            </w:r>
          </w:p>
        </w:tc>
        <w:tc>
          <w:tcPr>
            <w:tcW w:w="269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年度预期目标</w:t>
            </w:r>
          </w:p>
        </w:tc>
        <w:tc>
          <w:tcPr>
            <w:tcW w:w="20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9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积极性，提升演出质量，增强公共文化服务能力，自治区建立区级文艺院团政府购买演出机制。政府购买演出补助资金优先用于自治区级文艺院团在职人员绩效工资发放和其他工资福利费用支出、并可用于办公经费、公务用车运行维护费、消防设备购置等开支。</w:t>
            </w:r>
          </w:p>
        </w:tc>
        <w:tc>
          <w:tcPr>
            <w:tcW w:w="20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积极性，提升演出质量，增强公共文化服务能力，自治区建立区级文艺院团政府购买演出机制。政府购买演出补助资金优先用于自治区级文艺院团在职人员绩效工资发放和其他工资福利费用支出、并用于办公经费、公务用车运行维护费、消防设备购置等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99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年度指标值</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实际完成值</w:t>
            </w:r>
          </w:p>
        </w:tc>
        <w:tc>
          <w:tcPr>
            <w:tcW w:w="15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694"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小型演出场次</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229场</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设备购置数量</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4台</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1台</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资金用于弥补人员经费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弥补人员数量</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137人</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政府采购率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设备验收合格率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设备质量合格率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300"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弥补人员经费</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237.6万元</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237.6万元</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弥补日常公用经费</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12.4万元</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10.4万元</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由于政府采购流程未完成，导致支付时间截止。改正措施为：今后提前完成政府采购流程和手续，保证资金按时支付。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人员经费发放及时率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演出活动按时完成率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00"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69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提高各群众精神文化生活水平</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显著提升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00"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经济效益指标</w:t>
            </w: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设备利用率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300"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2"/>
        <w:jc w:val="both"/>
        <w:rPr>
          <w:rFonts w:ascii="Times New Roman" w:hAnsi="Times New Roman" w:eastAsia="黑体"/>
          <w:b w:val="0"/>
          <w:bCs w:val="0"/>
        </w:rPr>
      </w:pPr>
    </w:p>
    <w:p>
      <w:pPr>
        <w:pStyle w:val="2"/>
        <w:rPr>
          <w:rFonts w:ascii="Times New Roman" w:hAnsi="Times New Roman" w:eastAsia="黑体"/>
          <w:b w:val="0"/>
          <w:bCs w:val="0"/>
        </w:rPr>
      </w:pPr>
    </w:p>
    <w:p>
      <w:pPr>
        <w:pStyle w:val="2"/>
        <w:jc w:val="both"/>
        <w:rPr>
          <w:rFonts w:ascii="Times New Roman" w:hAnsi="Times New Roman"/>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rPr>
      </w:pPr>
      <w:r>
        <w:rPr>
          <w:rFonts w:hint="eastAsia" w:ascii="黑体" w:hAnsi="黑体" w:eastAsia="黑体" w:cs="黑体"/>
          <w:bCs/>
          <w:sz w:val="32"/>
          <w:szCs w:val="32"/>
        </w:rPr>
        <w:t>附件1</w:t>
      </w:r>
    </w:p>
    <w:p>
      <w:pPr>
        <w:pStyle w:val="18"/>
        <w:ind w:firstLine="562"/>
        <w:jc w:val="center"/>
        <w:rPr>
          <w:sz w:val="28"/>
          <w:szCs w:val="40"/>
        </w:rPr>
      </w:pPr>
      <w:bookmarkStart w:id="7" w:name="_Toc26499_WPSOffice_Level2"/>
      <w:bookmarkStart w:id="8" w:name="_Toc30064_WPSOffice_Level1"/>
      <w:r>
        <w:rPr>
          <w:rFonts w:hint="eastAsia"/>
          <w:b/>
          <w:bCs/>
          <w:sz w:val="28"/>
          <w:szCs w:val="40"/>
          <w:lang w:val="en-US" w:eastAsia="zh-CN"/>
        </w:rPr>
        <w:t>自治区本级政府购买演出项目</w:t>
      </w:r>
      <w:r>
        <w:rPr>
          <w:rFonts w:hint="eastAsia"/>
          <w:b/>
          <w:bCs/>
          <w:sz w:val="28"/>
          <w:szCs w:val="40"/>
        </w:rPr>
        <w:t>绩效评价指标体系及综合评分表</w:t>
      </w:r>
      <w:bookmarkEnd w:id="7"/>
      <w:bookmarkEnd w:id="8"/>
    </w:p>
    <w:tbl>
      <w:tblPr>
        <w:tblStyle w:val="13"/>
        <w:tblW w:w="44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8"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301"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344"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92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2048"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53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8" w:type="pct"/>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2048"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2048"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2048" w:type="pct"/>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8" w:type="pct"/>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continue"/>
            <w:shd w:val="clear" w:color="auto" w:fill="FFFFFF"/>
            <w:vAlign w:val="center"/>
          </w:tcPr>
          <w:p>
            <w:pPr>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512" w:type="pct"/>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lang w:val="en-US" w:eastAsia="zh-CN"/>
              </w:rPr>
              <w:t>4</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8"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9.51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8"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927" w:type="pct"/>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auto"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bl>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3D67FD-F981-4525-9885-93C22E2C76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61576C31-8D79-4C1D-B5EE-98A3A47CAE1F}"/>
  </w:font>
  <w:font w:name="华文中宋">
    <w:altName w:val="宋体"/>
    <w:panose1 w:val="02010600040101010101"/>
    <w:charset w:val="86"/>
    <w:family w:val="auto"/>
    <w:pitch w:val="default"/>
    <w:sig w:usb0="00000000" w:usb1="00000000" w:usb2="00000000" w:usb3="00000000" w:csb0="0004009F" w:csb1="DFD70000"/>
    <w:embedRegular r:id="rId3" w:fontKey="{20464B87-A350-4FC5-85E7-5FCEA1218E1D}"/>
  </w:font>
  <w:font w:name="方正小标宋_GBK">
    <w:panose1 w:val="02000000000000000000"/>
    <w:charset w:val="86"/>
    <w:family w:val="script"/>
    <w:pitch w:val="default"/>
    <w:sig w:usb0="A00002BF" w:usb1="38CF7CFA" w:usb2="00082016" w:usb3="00000000" w:csb0="00040001" w:csb1="00000000"/>
    <w:embedRegular r:id="rId4" w:fontKey="{A2A832BC-E224-4841-8D6C-C587F11955CA}"/>
  </w:font>
  <w:font w:name="楷体_GB2312">
    <w:altName w:val="楷体"/>
    <w:panose1 w:val="00000000000000000000"/>
    <w:charset w:val="86"/>
    <w:family w:val="auto"/>
    <w:pitch w:val="default"/>
    <w:sig w:usb0="00000000" w:usb1="00000000" w:usb2="00000000" w:usb3="00000000" w:csb0="00040000" w:csb1="00000000"/>
    <w:embedRegular r:id="rId5" w:fontKey="{AD88CCE1-EA84-4E07-A48B-21CA744E6B62}"/>
  </w:font>
  <w:font w:name="方正仿宋_GBK">
    <w:panose1 w:val="02000000000000000000"/>
    <w:charset w:val="86"/>
    <w:family w:val="auto"/>
    <w:pitch w:val="default"/>
    <w:sig w:usb0="A00002BF" w:usb1="38CF7CFA" w:usb2="00082016" w:usb3="00000000" w:csb0="00040001" w:csb1="00000000"/>
    <w:embedRegular r:id="rId6" w:fontKey="{3BD866AA-56EA-4FFD-A6BC-22F0161030DB}"/>
  </w:font>
  <w:font w:name="楷体">
    <w:panose1 w:val="02010609060101010101"/>
    <w:charset w:val="86"/>
    <w:family w:val="modern"/>
    <w:pitch w:val="default"/>
    <w:sig w:usb0="800002BF" w:usb1="38CF7CFA" w:usb2="00000016" w:usb3="00000000" w:csb0="00040001" w:csb1="00000000"/>
    <w:embedRegular r:id="rId7" w:fontKey="{DDBFF25D-49D7-4516-9E1D-E48B6C3C699A}"/>
  </w:font>
  <w:font w:name="方正小标宋简体">
    <w:altName w:val="黑体"/>
    <w:panose1 w:val="00000000000000000000"/>
    <w:charset w:val="86"/>
    <w:family w:val="auto"/>
    <w:pitch w:val="default"/>
    <w:sig w:usb0="00000000" w:usb1="00000000" w:usb2="00000000" w:usb3="00000000" w:csb0="00040000" w:csb1="00000000"/>
    <w:embedRegular r:id="rId8" w:fontKey="{726F27F2-321A-4061-A836-600148C4C8F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E83853AE"/>
    <w:multiLevelType w:val="singleLevel"/>
    <w:tmpl w:val="E83853AE"/>
    <w:lvl w:ilvl="0" w:tentative="0">
      <w:start w:val="2"/>
      <w:numFmt w:val="decimal"/>
      <w:suff w:val="nothing"/>
      <w:lvlText w:val="%1、"/>
      <w:lvlJc w:val="left"/>
    </w:lvl>
  </w:abstractNum>
  <w:abstractNum w:abstractNumId="2">
    <w:nsid w:val="FF9379A8"/>
    <w:multiLevelType w:val="singleLevel"/>
    <w:tmpl w:val="FF9379A8"/>
    <w:lvl w:ilvl="0" w:tentative="0">
      <w:start w:val="2"/>
      <w:numFmt w:val="chineseCounting"/>
      <w:suff w:val="nothing"/>
      <w:lvlText w:val="（%1）"/>
      <w:lvlJc w:val="left"/>
      <w:rPr>
        <w:rFonts w:hint="eastAsia"/>
      </w:rPr>
    </w:lvl>
  </w:abstractNum>
  <w:abstractNum w:abstractNumId="3">
    <w:nsid w:val="116B29BF"/>
    <w:multiLevelType w:val="singleLevel"/>
    <w:tmpl w:val="116B29BF"/>
    <w:lvl w:ilvl="0" w:tentative="0">
      <w:start w:val="3"/>
      <w:numFmt w:val="chineseCounting"/>
      <w:suff w:val="nothing"/>
      <w:lvlText w:val="%1、"/>
      <w:lvlJc w:val="left"/>
      <w:rPr>
        <w:rFonts w:hint="eastAsia"/>
      </w:rPr>
    </w:lvl>
  </w:abstractNum>
  <w:abstractNum w:abstractNumId="4">
    <w:nsid w:val="27813159"/>
    <w:multiLevelType w:val="singleLevel"/>
    <w:tmpl w:val="27813159"/>
    <w:lvl w:ilvl="0" w:tentative="0">
      <w:start w:val="3"/>
      <w:numFmt w:val="chineseCounting"/>
      <w:suff w:val="nothing"/>
      <w:lvlText w:val="（%1）"/>
      <w:lvlJc w:val="left"/>
      <w:rPr>
        <w:rFonts w:hint="eastAsia"/>
      </w:rPr>
    </w:lvl>
  </w:abstractNum>
  <w:abstractNum w:abstractNumId="5">
    <w:nsid w:val="6FAA0AB1"/>
    <w:multiLevelType w:val="singleLevel"/>
    <w:tmpl w:val="6FAA0AB1"/>
    <w:lvl w:ilvl="0" w:tentative="0">
      <w:start w:val="2"/>
      <w:numFmt w:val="chineseCounting"/>
      <w:suff w:val="nothing"/>
      <w:lvlText w:val="（%1）"/>
      <w:lvlJc w:val="left"/>
      <w:rPr>
        <w:rFonts w:hint="eastAsia"/>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6913BB9"/>
    <w:rsid w:val="07397B77"/>
    <w:rsid w:val="0F2E3DE7"/>
    <w:rsid w:val="116862E2"/>
    <w:rsid w:val="13471461"/>
    <w:rsid w:val="13B90F01"/>
    <w:rsid w:val="181066D2"/>
    <w:rsid w:val="1C671E73"/>
    <w:rsid w:val="24200419"/>
    <w:rsid w:val="33BF6215"/>
    <w:rsid w:val="33EA50D0"/>
    <w:rsid w:val="38CA40DD"/>
    <w:rsid w:val="395F2B56"/>
    <w:rsid w:val="3BECE841"/>
    <w:rsid w:val="3FF7797D"/>
    <w:rsid w:val="49A550B9"/>
    <w:rsid w:val="51BD58DF"/>
    <w:rsid w:val="5BFF6039"/>
    <w:rsid w:val="5D76A616"/>
    <w:rsid w:val="5D7F20B9"/>
    <w:rsid w:val="5DAC7D0E"/>
    <w:rsid w:val="5F98B5AF"/>
    <w:rsid w:val="5FFE8511"/>
    <w:rsid w:val="5FFEACE2"/>
    <w:rsid w:val="643EE26D"/>
    <w:rsid w:val="6DCA3150"/>
    <w:rsid w:val="6F5C41AC"/>
    <w:rsid w:val="6FAF6C78"/>
    <w:rsid w:val="7317C656"/>
    <w:rsid w:val="734ED73F"/>
    <w:rsid w:val="74AA60D5"/>
    <w:rsid w:val="77FD8BE9"/>
    <w:rsid w:val="79A9BD3F"/>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9923</Words>
  <Characters>10329</Characters>
  <Lines>58</Lines>
  <Paragraphs>16</Paragraphs>
  <TotalTime>7</TotalTime>
  <ScaleCrop>false</ScaleCrop>
  <LinksUpToDate>false</LinksUpToDate>
  <CharactersWithSpaces>10394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2023-03-08T13:13:00Z</dcterms:created>
  <dc:creator>审核人</dc:creator>
  <cp:lastModifiedBy>看剑</cp:lastModifiedBy>
  <dcterms:modified xsi:type="dcterms:W3CDTF">2023-04-12T04:35:49Z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6235EF217E59454FA660C9A0B4B0279A_13</vt:lpwstr>
  </property>
</Properties>
</file>