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kern w:val="0"/>
          <w:sz w:val="30"/>
          <w:szCs w:val="30"/>
          <w:highlight w:val="none"/>
        </w:rPr>
      </w:pPr>
    </w:p>
    <w:p>
      <w:pPr>
        <w:spacing w:line="540" w:lineRule="exact"/>
        <w:rPr>
          <w:rFonts w:hint="eastAsia" w:ascii="仿宋" w:hAnsi="仿宋" w:eastAsia="仿宋" w:cs="仿宋"/>
          <w:b/>
          <w:kern w:val="0"/>
          <w:sz w:val="30"/>
          <w:szCs w:val="30"/>
          <w:highlight w:val="none"/>
        </w:rPr>
      </w:pPr>
    </w:p>
    <w:p>
      <w:pPr>
        <w:spacing w:line="540" w:lineRule="exact"/>
        <w:jc w:val="center"/>
        <w:rPr>
          <w:rFonts w:hint="eastAsia" w:ascii="仿宋" w:hAnsi="仿宋" w:eastAsia="仿宋" w:cs="仿宋"/>
          <w:b/>
          <w:kern w:val="0"/>
          <w:sz w:val="30"/>
          <w:szCs w:val="30"/>
          <w:highlight w:val="none"/>
        </w:rPr>
      </w:pPr>
    </w:p>
    <w:p>
      <w:pPr>
        <w:spacing w:line="540" w:lineRule="exact"/>
        <w:jc w:val="center"/>
        <w:rPr>
          <w:rFonts w:hint="eastAsia" w:ascii="仿宋" w:hAnsi="仿宋" w:eastAsia="仿宋" w:cs="仿宋"/>
          <w:b/>
          <w:kern w:val="0"/>
          <w:sz w:val="30"/>
          <w:szCs w:val="30"/>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木卡姆艺术团综合业务楼运行补助项目支出绩效评价</w:t>
      </w: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报告</w:t>
      </w:r>
    </w:p>
    <w:p>
      <w:pPr>
        <w:spacing w:line="540" w:lineRule="exact"/>
        <w:jc w:val="center"/>
        <w:rPr>
          <w:rFonts w:hint="eastAsia" w:ascii="方正粗黑宋简体" w:hAnsi="方正粗黑宋简体" w:eastAsia="方正粗黑宋简体" w:cs="方正粗黑宋简体"/>
          <w:b/>
          <w:kern w:val="0"/>
          <w:sz w:val="52"/>
          <w:szCs w:val="52"/>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（2022年度）</w:t>
      </w:r>
    </w:p>
    <w:p>
      <w:pPr>
        <w:spacing w:line="540" w:lineRule="exact"/>
        <w:jc w:val="center"/>
        <w:rPr>
          <w:rFonts w:hint="eastAsia" w:ascii="方正粗黑宋简体" w:hAnsi="方正粗黑宋简体" w:eastAsia="方正粗黑宋简体" w:cs="方正粗黑宋简体"/>
          <w:kern w:val="0"/>
          <w:sz w:val="52"/>
          <w:szCs w:val="52"/>
          <w:highlight w:val="none"/>
        </w:rPr>
      </w:pPr>
    </w:p>
    <w:p>
      <w:pPr>
        <w:spacing w:line="540" w:lineRule="exact"/>
        <w:jc w:val="center"/>
        <w:rPr>
          <w:rFonts w:hint="eastAsia" w:ascii="仿宋" w:hAnsi="仿宋" w:eastAsia="仿宋" w:cs="仿宋"/>
          <w:kern w:val="0"/>
          <w:sz w:val="30"/>
          <w:szCs w:val="30"/>
          <w:highlight w:val="none"/>
        </w:rPr>
      </w:pPr>
    </w:p>
    <w:p>
      <w:pPr>
        <w:spacing w:line="540" w:lineRule="exact"/>
        <w:jc w:val="center"/>
        <w:rPr>
          <w:rFonts w:hint="eastAsia" w:ascii="仿宋" w:hAnsi="仿宋" w:eastAsia="仿宋" w:cs="仿宋"/>
          <w:kern w:val="0"/>
          <w:sz w:val="30"/>
          <w:szCs w:val="30"/>
          <w:highlight w:val="none"/>
        </w:rPr>
      </w:pPr>
    </w:p>
    <w:p>
      <w:pPr>
        <w:pStyle w:val="2"/>
        <w:rPr>
          <w:rFonts w:hint="eastAsia" w:ascii="仿宋" w:hAnsi="仿宋" w:eastAsia="仿宋" w:cs="仿宋"/>
          <w:sz w:val="30"/>
          <w:szCs w:val="30"/>
          <w:highlight w:val="none"/>
        </w:rPr>
      </w:pPr>
    </w:p>
    <w:p>
      <w:pPr>
        <w:spacing w:line="540" w:lineRule="exact"/>
        <w:jc w:val="center"/>
        <w:rPr>
          <w:rFonts w:hint="eastAsia" w:ascii="仿宋" w:hAnsi="仿宋" w:eastAsia="仿宋" w:cs="仿宋"/>
          <w:kern w:val="0"/>
          <w:sz w:val="30"/>
          <w:szCs w:val="30"/>
          <w:highlight w:val="none"/>
        </w:rPr>
      </w:pPr>
    </w:p>
    <w:p>
      <w:pPr>
        <w:spacing w:line="540" w:lineRule="exact"/>
        <w:rPr>
          <w:rFonts w:hint="eastAsia" w:ascii="仿宋" w:hAnsi="仿宋" w:eastAsia="仿宋" w:cs="仿宋"/>
          <w:kern w:val="0"/>
          <w:sz w:val="30"/>
          <w:szCs w:val="30"/>
          <w:highlight w:val="none"/>
        </w:rPr>
      </w:pPr>
    </w:p>
    <w:p>
      <w:pPr>
        <w:spacing w:line="700" w:lineRule="exact"/>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项目名称：木卡姆艺术团综合业务楼运行补助</w:t>
      </w:r>
    </w:p>
    <w:p>
      <w:pPr>
        <w:spacing w:line="700" w:lineRule="exact"/>
        <w:jc w:val="left"/>
        <w:rPr>
          <w:rFonts w:hint="eastAsia" w:ascii="仿宋" w:hAnsi="仿宋" w:eastAsia="仿宋" w:cs="仿宋"/>
          <w:kern w:val="0"/>
          <w:sz w:val="30"/>
          <w:szCs w:val="30"/>
          <w:highlight w:val="none"/>
          <w:lang w:val="en-US" w:eastAsia="zh-CN"/>
        </w:rPr>
      </w:pPr>
      <w:r>
        <w:rPr>
          <w:rFonts w:hint="eastAsia" w:ascii="仿宋" w:hAnsi="仿宋" w:eastAsia="仿宋" w:cs="仿宋"/>
          <w:kern w:val="0"/>
          <w:sz w:val="30"/>
          <w:szCs w:val="30"/>
          <w:highlight w:val="none"/>
        </w:rPr>
        <w:t>实施单位（公章）：新疆艺术剧院木卡姆艺术团主管部门（公章）：新疆维吾尔自治区文化和旅游厅项目负责人（签章）：</w:t>
      </w:r>
      <w:r>
        <w:rPr>
          <w:rFonts w:hint="eastAsia" w:ascii="仿宋" w:hAnsi="仿宋" w:eastAsia="仿宋" w:cs="仿宋"/>
          <w:kern w:val="0"/>
          <w:sz w:val="30"/>
          <w:szCs w:val="30"/>
          <w:highlight w:val="none"/>
          <w:lang w:val="en-US" w:eastAsia="zh-CN"/>
        </w:rPr>
        <w:t>迪力下提·帕尔哈提</w:t>
      </w:r>
    </w:p>
    <w:p>
      <w:pPr>
        <w:spacing w:line="700" w:lineRule="exact"/>
        <w:ind w:firstLine="1200" w:firstLineChars="400"/>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填报时间：</w:t>
      </w:r>
      <w:r>
        <w:rPr>
          <w:rFonts w:hint="eastAsia" w:ascii="仿宋" w:hAnsi="仿宋" w:eastAsia="仿宋" w:cs="仿宋"/>
          <w:kern w:val="0"/>
          <w:sz w:val="30"/>
          <w:szCs w:val="30"/>
          <w:highlight w:val="none"/>
          <w:lang w:val="en-US" w:eastAsia="zh-CN"/>
        </w:rPr>
        <w:t>2023</w:t>
      </w:r>
      <w:r>
        <w:rPr>
          <w:rFonts w:hint="eastAsia" w:ascii="仿宋" w:hAnsi="仿宋" w:eastAsia="仿宋" w:cs="仿宋"/>
          <w:kern w:val="0"/>
          <w:sz w:val="30"/>
          <w:szCs w:val="30"/>
          <w:highlight w:val="none"/>
        </w:rPr>
        <w:t>年</w:t>
      </w:r>
      <w:r>
        <w:rPr>
          <w:rFonts w:hint="eastAsia" w:ascii="仿宋" w:hAnsi="仿宋" w:eastAsia="仿宋" w:cs="仿宋"/>
          <w:kern w:val="0"/>
          <w:sz w:val="30"/>
          <w:szCs w:val="30"/>
          <w:highlight w:val="none"/>
          <w:lang w:val="en-US" w:eastAsia="zh-CN"/>
        </w:rPr>
        <w:t>4</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6</w:t>
      </w:r>
      <w:r>
        <w:rPr>
          <w:rFonts w:hint="eastAsia" w:ascii="仿宋" w:hAnsi="仿宋" w:eastAsia="仿宋" w:cs="仿宋"/>
          <w:kern w:val="0"/>
          <w:sz w:val="30"/>
          <w:szCs w:val="30"/>
          <w:highlight w:val="none"/>
        </w:rPr>
        <w:t>日</w:t>
      </w:r>
    </w:p>
    <w:p>
      <w:pPr>
        <w:spacing w:line="540" w:lineRule="exact"/>
        <w:jc w:val="center"/>
        <w:rPr>
          <w:rFonts w:hint="eastAsia" w:ascii="仿宋" w:hAnsi="仿宋" w:eastAsia="仿宋" w:cs="仿宋"/>
          <w:kern w:val="0"/>
          <w:sz w:val="30"/>
          <w:szCs w:val="30"/>
          <w:highlight w:val="none"/>
        </w:rPr>
      </w:pPr>
    </w:p>
    <w:p>
      <w:pPr>
        <w:spacing w:line="540" w:lineRule="exact"/>
        <w:rPr>
          <w:rStyle w:val="15"/>
          <w:rFonts w:hint="eastAsia" w:ascii="仿宋" w:hAnsi="仿宋" w:eastAsia="仿宋" w:cs="仿宋"/>
          <w:b w:val="0"/>
          <w:spacing w:val="-4"/>
          <w:sz w:val="30"/>
          <w:szCs w:val="30"/>
          <w:highlight w:val="none"/>
        </w:rPr>
      </w:pPr>
    </w:p>
    <w:p>
      <w:pPr>
        <w:spacing w:line="540" w:lineRule="exact"/>
        <w:ind w:firstLine="640"/>
        <w:rPr>
          <w:rStyle w:val="15"/>
          <w:rFonts w:hint="eastAsia" w:ascii="仿宋" w:hAnsi="仿宋" w:eastAsia="仿宋" w:cs="仿宋"/>
          <w:b w:val="0"/>
          <w:spacing w:val="-4"/>
          <w:sz w:val="30"/>
          <w:szCs w:val="30"/>
          <w:highlight w:val="none"/>
        </w:rPr>
      </w:pPr>
    </w:p>
    <w:p>
      <w:pPr>
        <w:spacing w:line="560" w:lineRule="exact"/>
        <w:rPr>
          <w:rFonts w:hint="eastAsia" w:ascii="仿宋" w:hAnsi="仿宋" w:eastAsia="仿宋" w:cs="仿宋"/>
          <w:bCs/>
          <w:sz w:val="30"/>
          <w:szCs w:val="30"/>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00" w:firstLineChars="200"/>
        <w:rPr>
          <w:rFonts w:hint="eastAsia" w:ascii="仿宋" w:hAnsi="仿宋" w:eastAsia="仿宋" w:cs="仿宋"/>
          <w:bCs/>
          <w:sz w:val="30"/>
          <w:szCs w:val="30"/>
          <w:highlight w:val="none"/>
        </w:rPr>
      </w:pPr>
      <w:r>
        <w:rPr>
          <w:rFonts w:hint="eastAsia" w:ascii="仿宋" w:hAnsi="仿宋" w:eastAsia="仿宋" w:cs="仿宋"/>
          <w:bCs/>
          <w:sz w:val="30"/>
          <w:szCs w:val="30"/>
          <w:highlight w:val="none"/>
        </w:rPr>
        <w:t>一、基本情况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（一）项目概况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1、项目背景</w:t>
      </w:r>
    </w:p>
    <w:p>
      <w:pPr>
        <w:spacing w:line="220" w:lineRule="atLeas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财政拨付的运行经费可以有效的保障各部门正常运转，使办公、排练正常化，可以更好的发挥我区最大的艺术表演场所的功效。我团综合业务楼集办公、排练、演出为一体，房屋建筑面积16994.41平方米，运行经费200万元保障了我团综合业务楼的正常运转，为本单位的正常业务开展奠定了基础，围绕我团的中心工作提供保障服务功能，预算主要用于综合楼水、电、物业、电梯维护、电气维护、消防维护等基础设施方面的所需费用；保障大楼物业所需保洁、保安、监控、水、电、暖工的人员费用及维护材料；设施、设备、工具更新维护等。</w:t>
      </w:r>
    </w:p>
    <w:p>
      <w:pPr>
        <w:pStyle w:val="2"/>
        <w:numPr>
          <w:ilvl w:val="0"/>
          <w:numId w:val="1"/>
        </w:numPr>
        <w:spacing w:before="0" w:after="0" w:line="560" w:lineRule="exact"/>
        <w:ind w:firstLine="602" w:firstLineChars="200"/>
        <w:jc w:val="both"/>
        <w:rPr>
          <w:rFonts w:hint="eastAsia" w:ascii="仿宋" w:hAnsi="仿宋" w:eastAsia="仿宋" w:cs="仿宋"/>
          <w:kern w:val="2"/>
          <w:sz w:val="30"/>
          <w:szCs w:val="30"/>
          <w:highlight w:val="none"/>
        </w:rPr>
      </w:pPr>
      <w:r>
        <w:rPr>
          <w:rFonts w:hint="eastAsia" w:ascii="仿宋" w:hAnsi="仿宋" w:eastAsia="仿宋" w:cs="仿宋"/>
          <w:kern w:val="2"/>
          <w:sz w:val="30"/>
          <w:szCs w:val="30"/>
          <w:highlight w:val="none"/>
        </w:rPr>
        <w:t>项目主要内容：</w:t>
      </w:r>
    </w:p>
    <w:p>
      <w:pPr>
        <w:spacing w:line="220" w:lineRule="atLeast"/>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项目主要内容：</w:t>
      </w:r>
      <w:r>
        <w:rPr>
          <w:rFonts w:hint="eastAsia" w:ascii="仿宋" w:hAnsi="仿宋" w:eastAsia="仿宋" w:cs="仿宋"/>
          <w:sz w:val="30"/>
          <w:szCs w:val="30"/>
          <w:highlight w:val="none"/>
        </w:rPr>
        <w:t>财政拨付的运行经费可以有效的保障各部门正常运转，使办公、排练正常化，可以更好的发挥我区最大的艺术表演场所的功效。</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3、资金投入和使用情况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（1）资金投入情况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该项目年初预算数200万元，全年预算数200万元，实际总投入200万元，该项目资金已全部落实到位，资金来源为财政拨款。</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（2）资金使用情况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该项目年初预算数200万元，全年预算数200万元,，全年执行数200万元，预算执行率为100%，主要用于：综合业务楼水电和物业人员劳务费。</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（二）项目绩效目标</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1、总体目标</w:t>
      </w:r>
    </w:p>
    <w:p>
      <w:pPr>
        <w:spacing w:line="560" w:lineRule="exact"/>
        <w:ind w:firstLine="584" w:firstLineChars="200"/>
        <w:rPr>
          <w:rStyle w:val="15"/>
          <w:rFonts w:hint="eastAsia" w:ascii="仿宋" w:hAnsi="仿宋" w:eastAsia="仿宋" w:cs="仿宋"/>
          <w:b w:val="0"/>
          <w:bCs/>
          <w:spacing w:val="-4"/>
          <w:sz w:val="30"/>
          <w:szCs w:val="30"/>
          <w:highlight w:val="none"/>
        </w:rPr>
      </w:pPr>
      <w:r>
        <w:rPr>
          <w:rStyle w:val="15"/>
          <w:rFonts w:hint="eastAsia" w:ascii="仿宋" w:hAnsi="仿宋" w:eastAsia="仿宋" w:cs="仿宋"/>
          <w:b w:val="0"/>
          <w:bCs/>
          <w:spacing w:val="-4"/>
          <w:sz w:val="30"/>
          <w:szCs w:val="30"/>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p>
      <w:pPr>
        <w:spacing w:line="560" w:lineRule="exact"/>
        <w:ind w:firstLine="600" w:firstLineChars="200"/>
        <w:rPr>
          <w:rFonts w:hint="eastAsia" w:ascii="仿宋" w:hAnsi="仿宋" w:eastAsia="仿宋" w:cs="仿宋"/>
          <w:color w:val="FF0000"/>
          <w:sz w:val="30"/>
          <w:szCs w:val="30"/>
          <w:highlight w:val="none"/>
          <w:lang w:val="en-US" w:eastAsia="zh-CN"/>
        </w:rPr>
      </w:pPr>
      <w:r>
        <w:rPr>
          <w:rFonts w:hint="eastAsia" w:ascii="仿宋" w:hAnsi="仿宋" w:eastAsia="仿宋" w:cs="仿宋"/>
          <w:sz w:val="30"/>
          <w:szCs w:val="30"/>
          <w:highlight w:val="none"/>
        </w:rPr>
        <w:t>2、阶段性目标</w:t>
      </w:r>
    </w:p>
    <w:p>
      <w:pPr>
        <w:spacing w:line="220" w:lineRule="atLeas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主要用于综合楼水、电、物业、电梯维护、电气维护、消防维护等基础设施方面的所需费用；保障大楼物业所需保洁、保安、监控、水、电、暖工的人员费用及维护材料；设施、设备、工具更新维护等。</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二、绩效评价工作开展情况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（一）绩效评价目的、对象和范围</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1、绩效评价的目的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项目在实施前向项目负责人提供财政支出绩效方面的资金管理信息，促进项目支出严格按照资金管理规定进行。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（2）项目绩效管理财政支出运行提供及时、有效的信息。</w:t>
      </w:r>
    </w:p>
    <w:p>
      <w:pPr>
        <w:pStyle w:val="1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综合来看，通过开展有效的财政支出绩效评价管理，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2、绩效评价的对象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木卡姆艺术团综合业务楼运行补助项目所包含的全部项目内容。</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3、绩效评价的范围</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本次评价从项目决策（包括绩效目标、决策过程）、项目管理（包括项目资金、项目实施）、项目产出（包括项目产出数量、产出质量、产出时效和产出成本）项目效益四个维度对木卡姆艺术团综合业务楼运行补助项目进行评价，评价核心为专项资金的支出完成情况和效果。</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（二）绩效评价原则、评价指标体系（详情见表1）、评价方法、评价标准。</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1、绩效评价原则</w:t>
      </w:r>
    </w:p>
    <w:p>
      <w:pPr>
        <w:spacing w:line="56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本次项目绩效评价遵循以下基本原则：</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（1）科学公正。绩效评价应当运用科学合理的方法，按照规范的程序，对项目绩效进行客观、公正的反映。</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（3）激励约束。绩效评价结果应与预算安排、政策调整、改进管理实质性挂钩，体现奖优罚劣和激励相容导向，有效要安排、低效要压减、无效要问责。</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（4）公开透明。绩效评价结果应依法依规公开，并自觉接受社会监督。</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2、评价指标体系</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绩效评价框架是开展绩效评价的核心。绩效评价框架包括评价准则、关键评价问题、评价指标、数据来源、数据收集方法等。指标体系建立过程如下：</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（1）确定评价指标</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（3）确定指标标准值</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668" w:firstLineChars="200"/>
        <w:jc w:val="both"/>
        <w:rPr>
          <w:rFonts w:hint="eastAsia" w:ascii="仿宋" w:hAnsi="仿宋" w:eastAsia="仿宋" w:cs="仿宋"/>
          <w:b w:val="0"/>
          <w:bCs w:val="0"/>
          <w:color w:val="000000"/>
          <w:spacing w:val="17"/>
          <w:kern w:val="2"/>
          <w:sz w:val="30"/>
          <w:szCs w:val="30"/>
          <w:highlight w:val="none"/>
        </w:rPr>
      </w:pPr>
      <w:r>
        <w:rPr>
          <w:rFonts w:hint="eastAsia" w:ascii="仿宋" w:hAnsi="仿宋" w:eastAsia="仿宋" w:cs="仿宋"/>
          <w:b w:val="0"/>
          <w:bCs w:val="0"/>
          <w:color w:val="000000"/>
          <w:spacing w:val="17"/>
          <w:kern w:val="2"/>
          <w:sz w:val="30"/>
          <w:szCs w:val="30"/>
          <w:highlight w:val="none"/>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668" w:firstLineChars="200"/>
        <w:jc w:val="both"/>
        <w:outlineLvl w:val="9"/>
        <w:rPr>
          <w:rFonts w:hint="eastAsia" w:ascii="仿宋" w:hAnsi="仿宋" w:eastAsia="仿宋" w:cs="仿宋"/>
          <w:b w:val="0"/>
          <w:bCs w:val="0"/>
          <w:color w:val="000000"/>
          <w:spacing w:val="17"/>
          <w:sz w:val="30"/>
          <w:szCs w:val="30"/>
          <w:highlight w:val="none"/>
        </w:rPr>
      </w:pPr>
      <w:r>
        <w:rPr>
          <w:rFonts w:hint="eastAsia" w:ascii="仿宋" w:hAnsi="仿宋" w:eastAsia="仿宋" w:cs="仿宋"/>
          <w:b w:val="0"/>
          <w:bCs w:val="0"/>
          <w:color w:val="000000"/>
          <w:spacing w:val="17"/>
          <w:sz w:val="30"/>
          <w:szCs w:val="30"/>
          <w:highlight w:val="none"/>
        </w:rPr>
        <w:t>具体评价指标体系详情见附件1</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3、绩效评价方法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绩效评价从项目决策、项目过程、项目产出、项目效益四个维度进行评价。评价对象为项目目标实施情况，评价核心为资金的支出完成情况和项目的产出效益。</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本次评价指标中，既有定性指标又有定量指标，各类指标因考核内容不同和客观标准不同存在较大差异，因此核定具体指标时采用了不同方法，具体评价方法如下：</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（1）比较法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通过对绩效目标与实施效果、历史与当期情况，综合分析绩效目标实现程度。对</w:t>
      </w:r>
      <w:r>
        <w:rPr>
          <w:rFonts w:hint="eastAsia" w:ascii="仿宋" w:hAnsi="仿宋" w:eastAsia="仿宋" w:cs="仿宋"/>
          <w:sz w:val="30"/>
          <w:szCs w:val="30"/>
          <w:highlight w:val="none"/>
        </w:rPr>
        <w:t>项目</w:t>
      </w:r>
      <w:r>
        <w:rPr>
          <w:rFonts w:hint="eastAsia" w:ascii="仿宋" w:hAnsi="仿宋" w:eastAsia="仿宋" w:cs="仿宋"/>
          <w:color w:val="000000"/>
          <w:spacing w:val="17"/>
          <w:sz w:val="30"/>
          <w:szCs w:val="30"/>
          <w:highlight w:val="none"/>
        </w:rPr>
        <w:t>最终验收情况与年度绩效目标对比、预算资金执行情况等相关因素进行比较。</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（2）因素分析法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通过综合分析影响绩效目标实现、实施效果的内外因素，评价绩效目标实现程度。通过对</w:t>
      </w:r>
      <w:r>
        <w:rPr>
          <w:rFonts w:hint="eastAsia" w:ascii="仿宋" w:hAnsi="仿宋" w:eastAsia="仿宋" w:cs="仿宋"/>
          <w:sz w:val="30"/>
          <w:szCs w:val="30"/>
          <w:highlight w:val="none"/>
        </w:rPr>
        <w:t>项目</w:t>
      </w:r>
      <w:r>
        <w:rPr>
          <w:rFonts w:hint="eastAsia" w:ascii="仿宋" w:hAnsi="仿宋" w:eastAsia="仿宋" w:cs="仿宋"/>
          <w:color w:val="000000"/>
          <w:spacing w:val="17"/>
          <w:sz w:val="30"/>
          <w:szCs w:val="30"/>
          <w:highlight w:val="none"/>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4、评价标准</w:t>
      </w:r>
    </w:p>
    <w:p>
      <w:pPr>
        <w:spacing w:line="560" w:lineRule="exact"/>
        <w:ind w:firstLine="640"/>
        <w:rPr>
          <w:rFonts w:hint="eastAsia" w:ascii="仿宋" w:hAnsi="仿宋" w:eastAsia="仿宋" w:cs="仿宋"/>
          <w:color w:val="FF0000"/>
          <w:sz w:val="30"/>
          <w:szCs w:val="30"/>
          <w:highlight w:val="none"/>
        </w:rPr>
      </w:pPr>
      <w:r>
        <w:rPr>
          <w:rFonts w:hint="eastAsia" w:ascii="仿宋" w:hAnsi="仿宋" w:eastAsia="仿宋" w:cs="仿宋"/>
          <w:sz w:val="30"/>
          <w:szCs w:val="30"/>
          <w:highlight w:val="none"/>
        </w:rPr>
        <w:t>绩效评价标准通常包括计划标准、行业标准、历史标准等，用于对绩效指标完成情况进行比较、分析、评价。本次</w:t>
      </w:r>
      <w:r>
        <w:rPr>
          <w:rFonts w:hint="eastAsia" w:ascii="仿宋" w:hAnsi="仿宋" w:eastAsia="仿宋" w:cs="仿宋"/>
          <w:color w:val="auto"/>
          <w:sz w:val="30"/>
          <w:szCs w:val="30"/>
          <w:highlight w:val="none"/>
        </w:rPr>
        <w:t>评价主要采用了</w:t>
      </w:r>
      <w:r>
        <w:rPr>
          <w:rFonts w:hint="eastAsia" w:ascii="仿宋" w:hAnsi="仿宋" w:eastAsia="仿宋" w:cs="仿宋"/>
          <w:b/>
          <w:bCs/>
          <w:sz w:val="30"/>
          <w:szCs w:val="30"/>
          <w:highlight w:val="none"/>
        </w:rPr>
        <w:t>历史标准</w:t>
      </w:r>
      <w:r>
        <w:rPr>
          <w:rFonts w:hint="eastAsia" w:ascii="仿宋" w:hAnsi="仿宋" w:eastAsia="仿宋" w:cs="仿宋"/>
          <w:color w:val="auto"/>
          <w:sz w:val="30"/>
          <w:szCs w:val="30"/>
          <w:highlight w:val="none"/>
        </w:rPr>
        <w:t>。</w:t>
      </w:r>
    </w:p>
    <w:p>
      <w:pPr>
        <w:spacing w:line="560" w:lineRule="exact"/>
        <w:ind w:firstLine="640"/>
        <w:rPr>
          <w:rFonts w:hint="eastAsia" w:ascii="仿宋" w:hAnsi="仿宋" w:eastAsia="仿宋" w:cs="仿宋"/>
          <w:sz w:val="30"/>
          <w:szCs w:val="30"/>
          <w:highlight w:val="none"/>
        </w:rPr>
      </w:pPr>
      <w:bookmarkStart w:id="0" w:name="_Toc31464"/>
      <w:bookmarkStart w:id="1" w:name="_Toc17882"/>
      <w:r>
        <w:rPr>
          <w:rFonts w:hint="eastAsia" w:ascii="仿宋" w:hAnsi="仿宋" w:eastAsia="仿宋" w:cs="仿宋"/>
          <w:b/>
          <w:bCs/>
          <w:sz w:val="30"/>
          <w:szCs w:val="30"/>
          <w:highlight w:val="none"/>
        </w:rPr>
        <w:t>计划标准：</w:t>
      </w:r>
      <w:r>
        <w:rPr>
          <w:rFonts w:hint="eastAsia" w:ascii="仿宋" w:hAnsi="仿宋" w:eastAsia="仿宋" w:cs="仿宋"/>
          <w:sz w:val="30"/>
          <w:szCs w:val="30"/>
          <w:highlight w:val="none"/>
        </w:rPr>
        <w:t>指以预先制定的目标、计划、预算、定额等作为评价标准。</w:t>
      </w:r>
      <w:bookmarkEnd w:id="0"/>
      <w:bookmarkEnd w:id="1"/>
    </w:p>
    <w:p>
      <w:pPr>
        <w:spacing w:line="560" w:lineRule="exact"/>
        <w:ind w:firstLine="640"/>
        <w:rPr>
          <w:rFonts w:hint="eastAsia" w:ascii="仿宋" w:hAnsi="仿宋" w:eastAsia="仿宋" w:cs="仿宋"/>
          <w:sz w:val="30"/>
          <w:szCs w:val="30"/>
          <w:highlight w:val="none"/>
        </w:rPr>
      </w:pPr>
      <w:bookmarkStart w:id="2" w:name="_Toc5633"/>
      <w:bookmarkStart w:id="3" w:name="_Toc2318"/>
      <w:r>
        <w:rPr>
          <w:rFonts w:hint="eastAsia" w:ascii="仿宋" w:hAnsi="仿宋" w:eastAsia="仿宋" w:cs="仿宋"/>
          <w:b/>
          <w:bCs/>
          <w:sz w:val="30"/>
          <w:szCs w:val="30"/>
          <w:highlight w:val="none"/>
        </w:rPr>
        <w:t>行业标准：</w:t>
      </w:r>
      <w:r>
        <w:rPr>
          <w:rFonts w:hint="eastAsia" w:ascii="仿宋" w:hAnsi="仿宋" w:eastAsia="仿宋" w:cs="仿宋"/>
          <w:sz w:val="30"/>
          <w:szCs w:val="30"/>
          <w:highlight w:val="none"/>
        </w:rPr>
        <w:t>指参照国家公布的行业指标数据制定的评价标准。</w:t>
      </w:r>
      <w:bookmarkEnd w:id="2"/>
      <w:bookmarkEnd w:id="3"/>
    </w:p>
    <w:p>
      <w:pPr>
        <w:spacing w:line="560" w:lineRule="exact"/>
        <w:ind w:firstLine="640"/>
        <w:rPr>
          <w:rFonts w:hint="eastAsia" w:ascii="仿宋" w:hAnsi="仿宋" w:eastAsia="仿宋" w:cs="仿宋"/>
          <w:sz w:val="30"/>
          <w:szCs w:val="30"/>
          <w:highlight w:val="none"/>
        </w:rPr>
      </w:pPr>
      <w:bookmarkStart w:id="4" w:name="_Toc16028"/>
      <w:bookmarkStart w:id="5" w:name="_Toc430"/>
      <w:r>
        <w:rPr>
          <w:rFonts w:hint="eastAsia" w:ascii="仿宋" w:hAnsi="仿宋" w:eastAsia="仿宋" w:cs="仿宋"/>
          <w:b/>
          <w:bCs/>
          <w:sz w:val="30"/>
          <w:szCs w:val="30"/>
          <w:highlight w:val="none"/>
        </w:rPr>
        <w:t>历史标准：</w:t>
      </w:r>
      <w:r>
        <w:rPr>
          <w:rFonts w:hint="eastAsia" w:ascii="仿宋" w:hAnsi="仿宋" w:eastAsia="仿宋" w:cs="仿宋"/>
          <w:sz w:val="30"/>
          <w:szCs w:val="30"/>
          <w:highlight w:val="none"/>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670" w:firstLineChars="200"/>
        <w:jc w:val="both"/>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lang w:val="en-US" w:eastAsia="zh-CN"/>
        </w:rPr>
        <w:t>1.</w:t>
      </w:r>
      <w:r>
        <w:rPr>
          <w:rFonts w:hint="eastAsia" w:ascii="仿宋" w:hAnsi="仿宋" w:eastAsia="仿宋" w:cs="仿宋"/>
          <w:bCs/>
          <w:sz w:val="30"/>
          <w:szCs w:val="30"/>
          <w:highlight w:val="none"/>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lang w:val="en-US" w:eastAsia="zh-CN"/>
        </w:rPr>
        <w:t>2.</w:t>
      </w:r>
      <w:r>
        <w:rPr>
          <w:rFonts w:hint="eastAsia" w:ascii="仿宋" w:hAnsi="仿宋" w:eastAsia="仿宋" w:cs="仿宋"/>
          <w:bCs/>
          <w:sz w:val="30"/>
          <w:szCs w:val="30"/>
          <w:highlight w:val="none"/>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highlight w:val="none"/>
        </w:rPr>
      </w:pPr>
      <w:r>
        <w:rPr>
          <w:rFonts w:hint="eastAsia" w:ascii="仿宋" w:hAnsi="仿宋" w:eastAsia="仿宋" w:cs="仿宋"/>
          <w:bCs/>
          <w:sz w:val="30"/>
          <w:szCs w:val="30"/>
          <w:highlight w:val="none"/>
          <w:lang w:val="en-US" w:eastAsia="zh-CN"/>
        </w:rPr>
        <w:t>3.</w:t>
      </w:r>
      <w:r>
        <w:rPr>
          <w:rFonts w:hint="eastAsia" w:ascii="仿宋" w:hAnsi="仿宋" w:eastAsia="仿宋" w:cs="仿宋"/>
          <w:bCs/>
          <w:sz w:val="30"/>
          <w:szCs w:val="30"/>
          <w:highlight w:val="none"/>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02" w:firstLineChars="200"/>
        <w:jc w:val="both"/>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一</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评价情况</w:t>
      </w:r>
    </w:p>
    <w:p>
      <w:pPr>
        <w:shd w:val="clear"/>
        <w:spacing w:line="600" w:lineRule="exact"/>
        <w:ind w:firstLine="600" w:firstLineChars="200"/>
        <w:outlineLvl w:val="0"/>
        <w:rPr>
          <w:rFonts w:hint="eastAsia" w:ascii="仿宋" w:hAnsi="仿宋" w:eastAsia="仿宋" w:cs="仿宋"/>
          <w:b w:val="0"/>
          <w:bCs w:val="0"/>
          <w:kern w:val="28"/>
          <w:sz w:val="30"/>
          <w:szCs w:val="30"/>
          <w:highlight w:val="none"/>
          <w:lang w:val="en-US" w:eastAsia="zh-CN" w:bidi="ar-SA"/>
        </w:rPr>
      </w:pPr>
      <w:r>
        <w:rPr>
          <w:rFonts w:hint="eastAsia" w:ascii="仿宋" w:hAnsi="仿宋" w:eastAsia="仿宋" w:cs="仿宋"/>
          <w:b w:val="0"/>
          <w:bCs w:val="0"/>
          <w:kern w:val="28"/>
          <w:sz w:val="30"/>
          <w:szCs w:val="30"/>
          <w:highlight w:val="none"/>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02" w:firstLineChars="200"/>
        <w:jc w:val="both"/>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二</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评价结论</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lang w:eastAsia="zh-CN"/>
        </w:rPr>
      </w:pPr>
      <w:r>
        <w:rPr>
          <w:rFonts w:hint="eastAsia" w:ascii="仿宋" w:hAnsi="仿宋" w:eastAsia="仿宋" w:cs="仿宋"/>
          <w:b w:val="0"/>
          <w:bCs w:val="0"/>
          <w:sz w:val="30"/>
          <w:szCs w:val="30"/>
          <w:highlight w:val="none"/>
        </w:rPr>
        <w:t>运用绩效评价组制定的评价指标体系以及财政部《项目支出绩效评价管理办法》（财预〔2020〕10号）文件的评分标准，通过数据采集、问卷调查及访谈等方式，对本项目进行客观评价，最终评分结果：总得分为</w:t>
      </w:r>
      <w:r>
        <w:rPr>
          <w:rFonts w:hint="eastAsia" w:ascii="仿宋" w:hAnsi="仿宋" w:eastAsia="仿宋" w:cs="仿宋"/>
          <w:b w:val="0"/>
          <w:bCs w:val="0"/>
          <w:sz w:val="30"/>
          <w:szCs w:val="30"/>
          <w:highlight w:val="none"/>
          <w:lang w:val="en-US" w:eastAsia="zh-CN"/>
        </w:rPr>
        <w:t>99.86</w:t>
      </w:r>
      <w:r>
        <w:rPr>
          <w:rFonts w:hint="eastAsia" w:ascii="仿宋" w:hAnsi="仿宋" w:eastAsia="仿宋" w:cs="仿宋"/>
          <w:b w:val="0"/>
          <w:bCs w:val="0"/>
          <w:sz w:val="30"/>
          <w:szCs w:val="30"/>
          <w:highlight w:val="none"/>
        </w:rPr>
        <w:t>分，属于“优”。其中，项目决策类指标权重为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%。项目过程类指标权重为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%。项目产出类指标权重为</w:t>
      </w:r>
      <w:r>
        <w:rPr>
          <w:rFonts w:hint="eastAsia" w:ascii="仿宋" w:hAnsi="仿宋" w:eastAsia="仿宋" w:cs="仿宋"/>
          <w:b w:val="0"/>
          <w:bCs w:val="0"/>
          <w:sz w:val="30"/>
          <w:szCs w:val="30"/>
          <w:highlight w:val="none"/>
          <w:lang w:val="en-US" w:eastAsia="zh-CN"/>
        </w:rPr>
        <w:t>40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39.86</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99.65</w:t>
      </w:r>
      <w:r>
        <w:rPr>
          <w:rFonts w:hint="eastAsia" w:ascii="仿宋" w:hAnsi="仿宋" w:eastAsia="仿宋" w:cs="仿宋"/>
          <w:b w:val="0"/>
          <w:bCs w:val="0"/>
          <w:sz w:val="30"/>
          <w:szCs w:val="30"/>
          <w:highlight w:val="none"/>
        </w:rPr>
        <w:t>%。项目效益类指标权重为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%。具体打分情况详见：附件1综合评分表</w:t>
      </w:r>
      <w:r>
        <w:rPr>
          <w:rFonts w:hint="eastAsia" w:ascii="仿宋" w:hAnsi="仿宋" w:eastAsia="仿宋" w:cs="仿宋"/>
          <w:b w:val="0"/>
          <w:bCs w:val="0"/>
          <w:sz w:val="30"/>
          <w:szCs w:val="30"/>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39.86</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99.86</w:t>
            </w:r>
          </w:p>
        </w:tc>
      </w:tr>
    </w:tbl>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四、绩效评价指标分析</w:t>
      </w:r>
    </w:p>
    <w:p>
      <w:pPr>
        <w:pStyle w:val="2"/>
        <w:spacing w:before="0" w:after="0" w:line="560" w:lineRule="exact"/>
        <w:ind w:firstLine="602" w:firstLineChars="2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（一）项目决策情况</w:t>
      </w:r>
    </w:p>
    <w:p>
      <w:pPr>
        <w:shd w:val="clear"/>
        <w:spacing w:line="600" w:lineRule="exact"/>
        <w:ind w:firstLine="600" w:firstLineChars="200"/>
        <w:outlineLvl w:val="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1.项目立项</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（1）立项依据充分性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（2）立项程序规范性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项目申请、设立过程符合相关要求，</w:t>
      </w:r>
      <w:r>
        <w:rPr>
          <w:rFonts w:hint="eastAsia" w:ascii="仿宋" w:hAnsi="仿宋" w:eastAsia="仿宋" w:cs="仿宋"/>
          <w:sz w:val="30"/>
          <w:szCs w:val="30"/>
          <w:highlight w:val="none"/>
          <w:lang w:eastAsia="zh-Hans"/>
        </w:rPr>
        <w:t>严格按照审批流程准备符合要求的文件、材料；</w:t>
      </w:r>
      <w:r>
        <w:rPr>
          <w:rFonts w:hint="eastAsia" w:ascii="仿宋" w:hAnsi="仿宋" w:eastAsia="仿宋" w:cs="仿宋"/>
          <w:sz w:val="30"/>
          <w:szCs w:val="30"/>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2.绩效目标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（1）绩效目标合理性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Hans"/>
        </w:rPr>
        <w:t>年初结合实际工作内容</w:t>
      </w:r>
      <w:r>
        <w:rPr>
          <w:rFonts w:hint="eastAsia" w:ascii="仿宋" w:hAnsi="仿宋" w:eastAsia="仿宋" w:cs="仿宋"/>
          <w:sz w:val="30"/>
          <w:szCs w:val="30"/>
          <w:highlight w:val="none"/>
          <w:lang w:val="en-US" w:eastAsia="zh-CN"/>
        </w:rPr>
        <w:t>设定绩效目标</w:t>
      </w:r>
      <w:r>
        <w:rPr>
          <w:rFonts w:hint="eastAsia" w:ascii="仿宋" w:hAnsi="仿宋" w:eastAsia="仿宋" w:cs="仿宋"/>
          <w:sz w:val="30"/>
          <w:szCs w:val="30"/>
          <w:highlight w:val="none"/>
          <w:lang w:val="en-US" w:eastAsia="zh-Hans"/>
        </w:rPr>
        <w:t>，绩效目标</w:t>
      </w:r>
      <w:r>
        <w:rPr>
          <w:rFonts w:hint="eastAsia" w:ascii="仿宋" w:hAnsi="仿宋" w:eastAsia="仿宋" w:cs="仿宋"/>
          <w:sz w:val="30"/>
          <w:szCs w:val="30"/>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（2）绩效指标明确性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3.资金投入</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（1）预算编制科学性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预算编制经过科学论证，提供充分的测算依据佐证资料，预算内容与项目内容相匹配。项目投资额与工作任务相匹配。</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（2）资金分配合理性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资金分配额度与项目单位实际工作内容相适应，资金分配额度合理，资金分配依据充分。</w:t>
      </w:r>
    </w:p>
    <w:p>
      <w:pPr>
        <w:pStyle w:val="2"/>
        <w:numPr>
          <w:ilvl w:val="0"/>
          <w:numId w:val="5"/>
        </w:numPr>
        <w:spacing w:before="0" w:after="0" w:line="560" w:lineRule="exact"/>
        <w:ind w:firstLine="602" w:firstLineChars="2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项目过程情况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1.资金管理</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（1）资金到位率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本项目总投资200万元，财政资金及时足额到位，到位率100%，预算资金按计划进度执行。</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（2）预算执行率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预算编制较为详细，项目资金支出总体能够按照预算执行，预算资金支出200万元，预算执行率为100%。</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（3）资金使用合规性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2.组织实施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（1）管理制度健全性</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（2）制度执行有效性</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项目产出</w:t>
      </w:r>
      <w:r>
        <w:rPr>
          <w:rFonts w:hint="eastAsia" w:ascii="仿宋" w:hAnsi="仿宋" w:eastAsia="仿宋" w:cs="仿宋"/>
          <w:b/>
          <w:bCs/>
          <w:sz w:val="30"/>
          <w:szCs w:val="30"/>
          <w:highlight w:val="none"/>
          <w:lang w:val="en-US" w:eastAsia="zh-CN"/>
        </w:rPr>
        <w:t>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项目产出类指标包括产出数量、产出质量、产出时效、产出成本四方面的内容，由4个三级指标构成，权重分为40分，实际得分39.86分，得分率为99.72%。具体产出指标完成情况如下：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1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①</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数量指标：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指标1：综合业务楼运行维护面积，指标值：16994.41平方米，实际完成值：16994.41平方米，指标完成率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指标2：劳务费发放次数，指标值：12次，实际完成值：12次，指标完成率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：物业管理服务人员数量，指标值：40人，实际完成值：40人，指标完成率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：保障正常办公人员数量，指标值：180人，实际完成值：175人，指标完成率</w:t>
      </w:r>
      <w:r>
        <w:rPr>
          <w:rFonts w:hint="eastAsia" w:ascii="仿宋" w:hAnsi="仿宋" w:eastAsia="仿宋" w:cs="仿宋"/>
          <w:sz w:val="30"/>
          <w:szCs w:val="30"/>
          <w:highlight w:val="none"/>
          <w:lang w:val="en-US" w:eastAsia="zh-CN"/>
        </w:rPr>
        <w:t>99.72</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：剧场承接演出场次，指标值：20场，实际完成值：2</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场，指标完成率</w:t>
      </w:r>
      <w:r>
        <w:rPr>
          <w:rFonts w:hint="eastAsia" w:ascii="仿宋" w:hAnsi="仿宋" w:eastAsia="仿宋" w:cs="仿宋"/>
          <w:sz w:val="30"/>
          <w:szCs w:val="30"/>
          <w:highlight w:val="none"/>
          <w:lang w:val="en-US" w:eastAsia="zh-CN"/>
        </w:rPr>
        <w:t>105</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2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②</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质量指标：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指标1：物业管理服务完成率（%），指标值：≥90%，实际完成值：90%，指标完成率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3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③</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时效指标：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指标1：项目按期完成率，指标值：100%，实际完成值：100%，指标完成率100%</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4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④</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成本指标：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指标1：物业管理服务人员人均劳务费，指标值：3730元/人.次，实际完成值：3730元/人.次，指标完成率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：人均运转经费，指标值：97元/人.月，实际完成值：97元/人.月，指标完成率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项目效益情况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项目效益类指标包括项目实施效益和满意度两方面的内容，由1个三级指标构成，权重分为20分，实际得分20分，得分率为100%。具体效益指标及满意度指标完成情况如下：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1.实施效益</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②</w:t>
      </w:r>
      <w:r>
        <w:rPr>
          <w:rFonts w:hint="eastAsia" w:ascii="仿宋" w:hAnsi="仿宋" w:eastAsia="仿宋" w:cs="仿宋"/>
          <w:sz w:val="30"/>
          <w:szCs w:val="30"/>
          <w:highlight w:val="none"/>
        </w:rPr>
        <w:t>社会效益指标：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：公共服务水平提升情况，指标值：显著提升，实际完成值：显著提升，指标完成率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2.满意度</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满意度指标：受益职工的满意程度、</w:t>
      </w:r>
      <w:r>
        <w:rPr>
          <w:rFonts w:hint="eastAsia" w:ascii="仿宋" w:hAnsi="仿宋" w:eastAsia="仿宋" w:cs="仿宋"/>
          <w:sz w:val="30"/>
          <w:szCs w:val="30"/>
          <w:highlight w:val="none"/>
        </w:rPr>
        <w:t>指标值：≥90%，实际完成值：</w:t>
      </w:r>
      <w:r>
        <w:rPr>
          <w:rFonts w:hint="eastAsia" w:ascii="仿宋" w:hAnsi="仿宋" w:eastAsia="仿宋" w:cs="仿宋"/>
          <w:sz w:val="30"/>
          <w:szCs w:val="30"/>
          <w:highlight w:val="none"/>
          <w:lang w:val="en-US" w:eastAsia="zh-CN"/>
        </w:rPr>
        <w:t>90%</w:t>
      </w:r>
      <w:r>
        <w:rPr>
          <w:rFonts w:hint="eastAsia" w:ascii="仿宋" w:hAnsi="仿宋" w:eastAsia="仿宋" w:cs="仿宋"/>
          <w:sz w:val="30"/>
          <w:szCs w:val="30"/>
          <w:highlight w:val="none"/>
        </w:rPr>
        <w:t>，指标完成率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lang w:eastAsia="zh-Hans"/>
        </w:rPr>
      </w:pPr>
      <w:r>
        <w:rPr>
          <w:rFonts w:hint="eastAsia" w:ascii="仿宋" w:hAnsi="仿宋" w:eastAsia="仿宋" w:cs="仿宋"/>
          <w:sz w:val="30"/>
          <w:szCs w:val="30"/>
          <w:highlight w:val="none"/>
          <w:lang w:eastAsia="zh-Hans"/>
        </w:rPr>
        <w:t>五、预算执行进度与绩效指标总体完成率偏差</w:t>
      </w:r>
    </w:p>
    <w:p>
      <w:pPr>
        <w:pStyle w:val="18"/>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木卡姆艺术团综合业务楼运行补助</w:t>
      </w:r>
      <w:r>
        <w:rPr>
          <w:rFonts w:hint="eastAsia" w:ascii="仿宋" w:hAnsi="仿宋" w:eastAsia="仿宋" w:cs="仿宋"/>
          <w:sz w:val="30"/>
          <w:szCs w:val="30"/>
          <w:highlight w:val="none"/>
        </w:rPr>
        <w:t>项目年初预算</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万元，全年预算</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万元，实际支出</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万元，预算执行率为</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%，项目绩效指标总体完成率为</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Hans"/>
        </w:rPr>
        <w:t>总体</w:t>
      </w:r>
      <w:r>
        <w:rPr>
          <w:rFonts w:hint="eastAsia" w:ascii="仿宋" w:hAnsi="仿宋" w:eastAsia="仿宋" w:cs="仿宋"/>
          <w:sz w:val="30"/>
          <w:szCs w:val="30"/>
          <w:highlight w:val="none"/>
        </w:rPr>
        <w:t>偏差率为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Style w:val="17"/>
          <w:rFonts w:hint="eastAsia" w:ascii="仿宋" w:hAnsi="仿宋" w:eastAsia="仿宋" w:cs="仿宋"/>
          <w:color w:val="auto"/>
          <w:sz w:val="30"/>
          <w:szCs w:val="30"/>
          <w:highlight w:val="none"/>
        </w:rPr>
      </w:pPr>
      <w:r>
        <w:rPr>
          <w:rFonts w:hint="eastAsia" w:ascii="仿宋" w:hAnsi="仿宋" w:eastAsia="仿宋" w:cs="仿宋"/>
          <w:sz w:val="30"/>
          <w:szCs w:val="30"/>
          <w:highlight w:val="none"/>
          <w:lang w:eastAsia="zh-Hans"/>
        </w:rPr>
        <w:t>六</w:t>
      </w:r>
      <w:r>
        <w:rPr>
          <w:rFonts w:hint="eastAsia" w:ascii="仿宋" w:hAnsi="仿宋" w:eastAsia="仿宋" w:cs="仿宋"/>
          <w:sz w:val="30"/>
          <w:szCs w:val="30"/>
          <w:highlight w:val="none"/>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586" w:firstLineChars="200"/>
        <w:textAlignment w:val="auto"/>
        <w:rPr>
          <w:rFonts w:hint="eastAsia" w:ascii="仿宋" w:hAnsi="仿宋" w:eastAsia="仿宋" w:cs="仿宋"/>
          <w:b/>
          <w:spacing w:val="-4"/>
          <w:sz w:val="30"/>
          <w:szCs w:val="30"/>
          <w:highlight w:val="none"/>
        </w:rPr>
      </w:pPr>
      <w:r>
        <w:rPr>
          <w:rFonts w:hint="eastAsia" w:ascii="仿宋" w:hAnsi="仿宋" w:eastAsia="仿宋" w:cs="仿宋"/>
          <w:b/>
          <w:spacing w:val="-4"/>
          <w:sz w:val="30"/>
          <w:szCs w:val="30"/>
          <w:highlight w:val="none"/>
        </w:rPr>
        <w:t>（一）主要经验及做法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为确保项目顺利进行，提前做好项目规划，将所列计划再三审核。在项目实施过程中做好定期监督检</w:t>
      </w:r>
      <w:bookmarkStart w:id="9" w:name="_GoBack"/>
      <w:bookmarkEnd w:id="9"/>
      <w:r>
        <w:rPr>
          <w:rFonts w:hint="eastAsia" w:ascii="仿宋" w:hAnsi="仿宋" w:eastAsia="仿宋" w:cs="仿宋"/>
          <w:sz w:val="30"/>
          <w:szCs w:val="30"/>
          <w:highlight w:val="none"/>
        </w:rPr>
        <w:t>查，严格按照项目管理规范进行，在项目资金使用过程中，严格落实把关，按照项目资金使用范围做好审核工作，让项目资金落于实处。在项目完成后，做好受益群众民意调查及项目防范工作。</w:t>
      </w:r>
    </w:p>
    <w:p>
      <w:pPr>
        <w:pStyle w:val="2"/>
        <w:keepNext w:val="0"/>
        <w:keepLines w:val="0"/>
        <w:pageBreakBefore w:val="0"/>
        <w:kinsoku/>
        <w:wordWrap/>
        <w:overflowPunct/>
        <w:topLinePunct w:val="0"/>
        <w:autoSpaceDE/>
        <w:autoSpaceDN/>
        <w:bidi w:val="0"/>
        <w:adjustRightInd/>
        <w:snapToGrid/>
        <w:spacing w:before="0" w:after="0" w:line="560" w:lineRule="exact"/>
        <w:ind w:firstLine="600" w:firstLineChars="200"/>
        <w:jc w:val="left"/>
        <w:textAlignment w:val="auto"/>
        <w:rPr>
          <w:rFonts w:hint="eastAsia" w:ascii="仿宋" w:hAnsi="仿宋" w:eastAsia="仿宋" w:cs="仿宋"/>
          <w:b w:val="0"/>
          <w:bCs w:val="0"/>
          <w:kern w:val="2"/>
          <w:sz w:val="30"/>
          <w:szCs w:val="30"/>
          <w:highlight w:val="none"/>
        </w:rPr>
      </w:pPr>
      <w:r>
        <w:rPr>
          <w:rFonts w:hint="eastAsia" w:ascii="仿宋" w:hAnsi="仿宋" w:eastAsia="仿宋" w:cs="仿宋"/>
          <w:b w:val="0"/>
          <w:bCs w:val="0"/>
          <w:kern w:val="2"/>
          <w:sz w:val="30"/>
          <w:szCs w:val="30"/>
          <w:highlight w:val="none"/>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6"/>
        </w:num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存在的问题及原因分析</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2.因轮岗、调动、等因素使我单位绩效工作人员流动频繁，造成了工作衔接不到位的情况。</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Hans"/>
        </w:rPr>
        <w:t>七、</w:t>
      </w:r>
      <w:r>
        <w:rPr>
          <w:rFonts w:hint="eastAsia" w:ascii="仿宋" w:hAnsi="仿宋" w:eastAsia="仿宋" w:cs="仿宋"/>
          <w:sz w:val="30"/>
          <w:szCs w:val="30"/>
          <w:highlight w:val="none"/>
        </w:rPr>
        <w:t>有关建议</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00" w:firstLineChars="200"/>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 w:hAnsi="仿宋" w:eastAsia="仿宋" w:cs="仿宋"/>
          <w:sz w:val="30"/>
          <w:szCs w:val="30"/>
          <w:highlight w:val="none"/>
        </w:rPr>
        <w:t>。</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Hans"/>
        </w:rPr>
        <w:t>八、</w:t>
      </w:r>
      <w:r>
        <w:rPr>
          <w:rFonts w:hint="eastAsia" w:ascii="仿宋" w:hAnsi="仿宋" w:eastAsia="仿宋" w:cs="仿宋"/>
          <w:sz w:val="30"/>
          <w:szCs w:val="30"/>
          <w:highlight w:val="none"/>
        </w:rPr>
        <w:t>其他需要说</w:t>
      </w:r>
      <w:bookmarkStart w:id="6" w:name="page8"/>
      <w:bookmarkEnd w:id="6"/>
      <w:r>
        <w:rPr>
          <w:rFonts w:hint="eastAsia" w:ascii="仿宋" w:hAnsi="仿宋" w:eastAsia="仿宋" w:cs="仿宋"/>
          <w:sz w:val="30"/>
          <w:szCs w:val="30"/>
          <w:highlight w:val="none"/>
        </w:rPr>
        <w:t>明的问题</w:t>
      </w:r>
    </w:p>
    <w:p>
      <w:pPr>
        <w:pStyle w:val="12"/>
        <w:spacing w:after="0" w:line="560" w:lineRule="exact"/>
        <w:ind w:left="0" w:leftChars="0" w:firstLine="640"/>
        <w:rPr>
          <w:rFonts w:hint="eastAsia" w:ascii="仿宋" w:hAnsi="仿宋" w:eastAsia="仿宋" w:cs="仿宋"/>
          <w:sz w:val="30"/>
          <w:szCs w:val="30"/>
          <w:highlight w:val="none"/>
        </w:rPr>
      </w:pPr>
      <w:r>
        <w:rPr>
          <w:rFonts w:hint="eastAsia" w:ascii="仿宋" w:hAnsi="仿宋" w:eastAsia="仿宋" w:cs="仿宋"/>
          <w:sz w:val="30"/>
          <w:szCs w:val="30"/>
          <w:highlight w:val="none"/>
          <w:lang w:eastAsia="zh-Hans"/>
        </w:rPr>
        <w:t>本项目无其他需说明的问题。</w:t>
      </w:r>
    </w:p>
    <w:p>
      <w:pPr>
        <w:pStyle w:val="12"/>
        <w:spacing w:after="0" w:line="560" w:lineRule="exact"/>
        <w:ind w:left="0" w:leftChars="0" w:firstLine="640"/>
        <w:rPr>
          <w:rFonts w:hint="eastAsia" w:ascii="仿宋" w:hAnsi="仿宋" w:eastAsia="仿宋" w:cs="仿宋"/>
          <w:sz w:val="30"/>
          <w:szCs w:val="30"/>
          <w:highlight w:val="none"/>
        </w:rPr>
      </w:pPr>
    </w:p>
    <w:p>
      <w:pPr>
        <w:pStyle w:val="12"/>
        <w:spacing w:after="0" w:line="560" w:lineRule="exact"/>
        <w:ind w:left="0" w:leftChars="0" w:firstLine="640"/>
        <w:rPr>
          <w:rFonts w:hint="eastAsia" w:ascii="仿宋" w:hAnsi="仿宋" w:eastAsia="仿宋" w:cs="仿宋"/>
          <w:sz w:val="30"/>
          <w:szCs w:val="30"/>
          <w:highlight w:val="none"/>
        </w:rPr>
      </w:pPr>
    </w:p>
    <w:p>
      <w:pPr>
        <w:pStyle w:val="12"/>
        <w:spacing w:after="0" w:line="560" w:lineRule="exact"/>
        <w:ind w:left="0" w:leftChars="0" w:firstLine="0" w:firstLineChars="0"/>
        <w:rPr>
          <w:rFonts w:hint="eastAsia" w:ascii="仿宋" w:hAnsi="仿宋" w:eastAsia="仿宋" w:cs="仿宋"/>
          <w:sz w:val="30"/>
          <w:szCs w:val="30"/>
          <w:highlight w:val="none"/>
        </w:rPr>
      </w:pPr>
    </w:p>
    <w:p>
      <w:pPr>
        <w:widowControl/>
        <w:jc w:val="center"/>
        <w:textAlignment w:val="center"/>
        <w:rPr>
          <w:rFonts w:hint="eastAsia" w:ascii="仿宋" w:hAnsi="仿宋" w:eastAsia="仿宋" w:cs="仿宋"/>
          <w:b/>
          <w:kern w:val="0"/>
          <w:sz w:val="30"/>
          <w:szCs w:val="30"/>
          <w:highlight w:val="none"/>
          <w:lang w:bidi="ar"/>
        </w:rPr>
        <w:sectPr>
          <w:pgSz w:w="11906" w:h="16838"/>
          <w:pgMar w:top="1440" w:right="1558" w:bottom="1440" w:left="1800" w:header="851" w:footer="992" w:gutter="0"/>
          <w:cols w:space="425" w:num="1"/>
          <w:docGrid w:type="lines" w:linePitch="312" w:charSpace="0"/>
        </w:sectPr>
      </w:pPr>
    </w:p>
    <w:tbl>
      <w:tblPr>
        <w:tblStyle w:val="13"/>
        <w:tblW w:w="8983" w:type="dxa"/>
        <w:tblInd w:w="0" w:type="dxa"/>
        <w:tblLayout w:type="autofit"/>
        <w:tblCellMar>
          <w:top w:w="0" w:type="dxa"/>
          <w:left w:w="0" w:type="dxa"/>
          <w:bottom w:w="0" w:type="dxa"/>
          <w:right w:w="0" w:type="dxa"/>
        </w:tblCellMar>
      </w:tblPr>
      <w:tblGrid>
        <w:gridCol w:w="797"/>
        <w:gridCol w:w="864"/>
        <w:gridCol w:w="1094"/>
        <w:gridCol w:w="1349"/>
        <w:gridCol w:w="984"/>
        <w:gridCol w:w="1948"/>
        <w:gridCol w:w="1947"/>
      </w:tblGrid>
      <w:tr>
        <w:tblPrEx>
          <w:tblCellMar>
            <w:top w:w="0" w:type="dxa"/>
            <w:left w:w="0" w:type="dxa"/>
            <w:bottom w:w="0" w:type="dxa"/>
            <w:right w:w="0" w:type="dxa"/>
          </w:tblCellMar>
        </w:tblPrEx>
        <w:trPr>
          <w:trHeight w:val="420" w:hRule="atLeast"/>
        </w:trPr>
        <w:tc>
          <w:tcPr>
            <w:tcW w:w="8983"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sz w:val="24"/>
                <w:szCs w:val="24"/>
                <w:highlight w:val="none"/>
                <w:u w:val="single"/>
              </w:rPr>
            </w:pPr>
            <w:r>
              <w:rPr>
                <w:rFonts w:hint="eastAsia" w:ascii="仿宋" w:hAnsi="仿宋" w:eastAsia="仿宋" w:cs="仿宋"/>
                <w:b/>
                <w:kern w:val="0"/>
                <w:sz w:val="24"/>
                <w:szCs w:val="24"/>
                <w:highlight w:val="none"/>
                <w:lang w:bidi="ar"/>
              </w:rPr>
              <w:t>项目支出绩效自评表</w:t>
            </w:r>
          </w:p>
        </w:tc>
      </w:tr>
      <w:tr>
        <w:tblPrEx>
          <w:tblCellMar>
            <w:top w:w="0" w:type="dxa"/>
            <w:left w:w="0" w:type="dxa"/>
            <w:bottom w:w="0" w:type="dxa"/>
            <w:right w:w="0" w:type="dxa"/>
          </w:tblCellMar>
        </w:tblPrEx>
        <w:trPr>
          <w:trHeight w:val="288" w:hRule="atLeast"/>
        </w:trPr>
        <w:tc>
          <w:tcPr>
            <w:tcW w:w="8983"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（2022年度）</w:t>
            </w:r>
          </w:p>
        </w:tc>
      </w:tr>
      <w:tr>
        <w:tblPrEx>
          <w:tblCellMar>
            <w:top w:w="0" w:type="dxa"/>
            <w:left w:w="0" w:type="dxa"/>
            <w:bottom w:w="0" w:type="dxa"/>
            <w:right w:w="0" w:type="dxa"/>
          </w:tblCellMar>
        </w:tblPrEx>
        <w:trPr>
          <w:trHeight w:val="276" w:hRule="atLeast"/>
        </w:trPr>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项目名称</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木卡姆艺术团综合业务楼运行补助</w:t>
            </w:r>
          </w:p>
        </w:tc>
      </w:tr>
      <w:tr>
        <w:tblPrEx>
          <w:tblCellMar>
            <w:top w:w="0" w:type="dxa"/>
            <w:left w:w="0" w:type="dxa"/>
            <w:bottom w:w="0" w:type="dxa"/>
            <w:right w:w="0" w:type="dxa"/>
          </w:tblCellMar>
        </w:tblPrEx>
        <w:trPr>
          <w:trHeight w:val="276" w:hRule="atLeast"/>
        </w:trPr>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主管部门</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新疆维吾尔自治区文化和旅游厅</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实施单位</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新疆艺术剧院木卡姆艺术团</w:t>
            </w:r>
          </w:p>
        </w:tc>
      </w:tr>
      <w:tr>
        <w:tblPrEx>
          <w:tblCellMar>
            <w:top w:w="0" w:type="dxa"/>
            <w:left w:w="0" w:type="dxa"/>
            <w:bottom w:w="0" w:type="dxa"/>
            <w:right w:w="0" w:type="dxa"/>
          </w:tblCellMar>
        </w:tblPrEx>
        <w:trPr>
          <w:trHeight w:val="731" w:hRule="atLeast"/>
        </w:trPr>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项目资金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年初预算数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全年预算数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全年执行数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执行率</w:t>
            </w: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年度资金总额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w:t>
            </w: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其中：当年财政拨款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上年结转资金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年度总体目标</w:t>
            </w:r>
          </w:p>
        </w:tc>
        <w:tc>
          <w:tcPr>
            <w:tcW w:w="42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预期目标</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42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绩效指标</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一级指标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二级指标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三级指标</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年度指标值</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实际完成值</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产出指标</w:t>
            </w:r>
          </w:p>
        </w:tc>
        <w:tc>
          <w:tcPr>
            <w:tcW w:w="109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综合业务楼运行维护面积</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16994.41平方米</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16994.41平方米</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劳务费发放次数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物业管理服务人员数量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保障正常办公人员数量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175人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剧场承接演出场次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质量指标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物业管理服务完成率（%）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项目按期完成率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成本指标</w:t>
            </w:r>
          </w:p>
        </w:tc>
        <w:tc>
          <w:tcPr>
            <w:tcW w:w="135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物业管理服务人员人均劳务费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3730元/人.次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3730元/人.次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人均运转经费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97元/人.月</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97元/人.月</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效益指标</w:t>
            </w:r>
          </w:p>
        </w:tc>
        <w:tc>
          <w:tcPr>
            <w:tcW w:w="109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社会效益指标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公共服务水平提升情况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显著提升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显著提升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满意度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服务对象满意度指标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受益职工的满意程度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bl>
    <w:p>
      <w:pPr>
        <w:pStyle w:val="2"/>
        <w:jc w:val="both"/>
        <w:rPr>
          <w:rFonts w:hint="eastAsia" w:ascii="仿宋" w:hAnsi="仿宋" w:eastAsia="仿宋" w:cs="仿宋"/>
          <w:b w:val="0"/>
          <w:bCs w:val="0"/>
          <w:sz w:val="24"/>
          <w:szCs w:val="24"/>
          <w:highlight w:val="none"/>
        </w:rPr>
      </w:pPr>
    </w:p>
    <w:p>
      <w:pPr>
        <w:pStyle w:val="2"/>
        <w:rPr>
          <w:rFonts w:hint="eastAsia" w:ascii="仿宋" w:hAnsi="仿宋" w:eastAsia="仿宋" w:cs="仿宋"/>
          <w:b w:val="0"/>
          <w:bCs w:val="0"/>
          <w:sz w:val="24"/>
          <w:szCs w:val="24"/>
          <w:highlight w:val="none"/>
        </w:rPr>
      </w:pPr>
    </w:p>
    <w:p>
      <w:pPr>
        <w:pStyle w:val="2"/>
        <w:jc w:val="both"/>
        <w:rPr>
          <w:rFonts w:hint="eastAsia" w:ascii="仿宋" w:hAnsi="仿宋" w:eastAsia="仿宋" w:cs="仿宋"/>
          <w:sz w:val="24"/>
          <w:szCs w:val="24"/>
          <w:highlight w:val="none"/>
        </w:rPr>
        <w:sectPr>
          <w:pgSz w:w="11906" w:h="16838"/>
          <w:pgMar w:top="1440" w:right="1558" w:bottom="1440" w:left="1800" w:header="851" w:footer="992" w:gutter="0"/>
          <w:cols w:space="425" w:num="1"/>
          <w:docGrid w:type="lines" w:linePitch="312" w:charSpace="0"/>
        </w:sectPr>
      </w:pPr>
    </w:p>
    <w:p>
      <w:pPr>
        <w:spacing w:line="600" w:lineRule="exact"/>
        <w:rPr>
          <w:rFonts w:hint="eastAsia" w:ascii="仿宋" w:hAnsi="仿宋" w:eastAsia="仿宋" w:cs="仿宋"/>
          <w:sz w:val="24"/>
          <w:szCs w:val="24"/>
          <w:highlight w:val="none"/>
        </w:rPr>
      </w:pPr>
      <w:r>
        <w:rPr>
          <w:rFonts w:hint="eastAsia" w:ascii="仿宋" w:hAnsi="仿宋" w:eastAsia="仿宋" w:cs="仿宋"/>
          <w:bCs/>
          <w:sz w:val="24"/>
          <w:szCs w:val="24"/>
          <w:highlight w:val="none"/>
        </w:rPr>
        <w:t>附件1</w:t>
      </w:r>
    </w:p>
    <w:p>
      <w:pPr>
        <w:pStyle w:val="18"/>
        <w:ind w:firstLine="562"/>
        <w:jc w:val="center"/>
        <w:rPr>
          <w:rFonts w:hint="eastAsia" w:ascii="仿宋" w:hAnsi="仿宋" w:eastAsia="仿宋" w:cs="仿宋"/>
          <w:sz w:val="24"/>
          <w:szCs w:val="24"/>
          <w:highlight w:val="none"/>
        </w:rPr>
      </w:pPr>
      <w:bookmarkStart w:id="7" w:name="_Toc26499_WPSOffice_Level2"/>
      <w:bookmarkStart w:id="8" w:name="_Toc30064_WPSOffice_Level1"/>
      <w:r>
        <w:rPr>
          <w:rFonts w:hint="eastAsia" w:ascii="仿宋" w:hAnsi="仿宋" w:eastAsia="仿宋" w:cs="仿宋"/>
          <w:b/>
          <w:bCs/>
          <w:sz w:val="24"/>
          <w:szCs w:val="24"/>
          <w:highlight w:val="none"/>
          <w:lang w:val="en-US" w:eastAsia="zh-CN"/>
        </w:rPr>
        <w:t>木卡姆艺术团综合业务楼运行补助</w:t>
      </w:r>
      <w:r>
        <w:rPr>
          <w:rFonts w:hint="eastAsia" w:ascii="仿宋" w:hAnsi="仿宋" w:eastAsia="仿宋" w:cs="仿宋"/>
          <w:b/>
          <w:bCs/>
          <w:sz w:val="24"/>
          <w:szCs w:val="24"/>
          <w:highlight w:val="none"/>
        </w:rPr>
        <w:t>项目绩效评价指标体系及综合评分表</w:t>
      </w:r>
      <w:bookmarkEnd w:id="7"/>
      <w:bookmarkEnd w:id="8"/>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一级指标</w:t>
            </w:r>
          </w:p>
        </w:tc>
        <w:tc>
          <w:tcPr>
            <w:tcW w:w="301"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二级指标</w:t>
            </w:r>
          </w:p>
        </w:tc>
        <w:tc>
          <w:tcPr>
            <w:tcW w:w="344"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三级指标</w:t>
            </w:r>
          </w:p>
        </w:tc>
        <w:tc>
          <w:tcPr>
            <w:tcW w:w="92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指标解释</w:t>
            </w:r>
          </w:p>
        </w:tc>
        <w:tc>
          <w:tcPr>
            <w:tcW w:w="2048"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指标说明</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权重</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决策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项目立项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立项依据</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充分性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①项目立项是否符合国家法律法规、国民经济发展规划和相关政策；</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②项目立项是否符合行业发展规划和政策要求；</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③项目立项是否与部门职责范围相符，属于部门履职所需；</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④项目是否属于公共财政支持范围，是否符合中央、地方事权支出责任划分原则；</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⑤项目是否与相关部门同类项目或部门内部相关项目重复。</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立项程序</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规范性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①项目是否按照规定的程序申请设立；</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②审批文件、材料是否符合相关要求；</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绩效目标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绩效目标</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合理性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（如未设定预算绩效目标，也可考核其他工作任务目标）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①项目是否有绩效目标；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②项目绩效目标与实际工作内容是否具有相关性；</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③项目预期产出效益和效果是否符合正常的业绩水平；</w:t>
            </w:r>
          </w:p>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④是否与预算确定的项目投资额或资金量相匹配。</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绩效指标</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明确性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①是否将项目绩效目标细化分解为具体的绩效指标；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②是否通过清晰、可衡量的指标值予以体现；</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③是否与项目目标任务数或计划数相对应。</w:t>
            </w:r>
            <w:r>
              <w:rPr>
                <w:rFonts w:hint="eastAsia" w:ascii="仿宋" w:hAnsi="仿宋" w:eastAsia="仿宋" w:cs="仿宋"/>
                <w:color w:val="000000"/>
                <w:kern w:val="0"/>
                <w:sz w:val="24"/>
                <w:szCs w:val="24"/>
                <w:highlight w:val="none"/>
              </w:rPr>
              <w:br w:type="textWrapping"/>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资金投入</w:t>
            </w: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预算编制</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科学性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①预算编制是否经过科学论证；</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②预算内容与项目内容是否匹配；</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③预算额度测算依据是否充分，是否按照标准编制；</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④预算确定的项目投资额或资金量是否与工作任务相匹配。</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资金分配</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合理性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①预算资金分配依据是否充分；</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②资金分配额度是否合理，与项目单位或地方实际是否相适应。</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过程</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资金管理</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资金到位率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资金到位率=（实际到位资金/预算资金）×100%。</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实际到位资金：一定时期（本年度或项目期）内落实到具体项目的资金。</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预算资金：一定时期（本年度或项目期）内预算安排到具体项目的资金。</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预算执行率</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项目预算资金是否按照计划执行，用以反映或考核项目预算执行情况。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预算执行率=（实际支出资金/实际到位资金）×100%。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实际支出资金：一定时期（本年度或项目期）内项目实际拨付的资金。</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资金管理</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资金使用</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合规性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①是否符合国家财经法规和财务管理制度以及有关专项资金管理办法的规定；</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②资金的拨付是否有完整的审批程序和手续；</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③是否符合项目预算批复或合同规定的用途；</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④是否存在截留、挤占、挪用、虚列支出等情况。</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组织实施</w:t>
            </w: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管理制度</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健全性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①是否已制定或具有相应的财务和业务管理制度；</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②财务和业务管理制度是否合法、合规、完整。</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制度执行</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有效性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①是否遵守相关法律法规和相关管理规定；</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②项目调整及支出调整手续是否完备；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③项目合同书、验收报告、技术鉴定等资料是否齐全并及时归档；</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④项目实施的人员条件、场地设备、信息支撑等是否落实到位。</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w:t>
            </w: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产出数量</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实际完成率=（实际产出数/计划产出数）×100%。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实际产出数：一定时期（本年度或项目期）内项目实际产出的产品或提供的服务数量。</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9.86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产出质量</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质量达标率=（质量达标产出数/实际产出数）×100%。</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产出时效</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完成及时性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实际完成时间：项目实施单位完成该项目实际所耗用的时间。</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计划完成时间：按照项目实施计划或相关规定完成该项目所需的时间。</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产出成本</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成本节约率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成本节约率=[（计划成本-实际成本）/计划成本]×100%。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实际成本：项目实施单位如期、保质、保量完成既定工作目标实际所耗费的支出。</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效益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项目效益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实施效益</w:t>
            </w:r>
          </w:p>
        </w:tc>
        <w:tc>
          <w:tcPr>
            <w:tcW w:w="927"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项目实施所产生的效益。</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满意度</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社会公众或服务对象对项目实施效果的满意程度。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lang w:val="en-US" w:eastAsia="zh-CN"/>
              </w:rPr>
              <w:t>10</w:t>
            </w:r>
          </w:p>
        </w:tc>
      </w:tr>
    </w:tbl>
    <w:p>
      <w:pPr>
        <w:rPr>
          <w:rFonts w:hint="eastAsia" w:ascii="仿宋" w:hAnsi="仿宋" w:eastAsia="仿宋" w:cs="仿宋"/>
          <w:sz w:val="24"/>
          <w:szCs w:val="24"/>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116B29BF"/>
    <w:multiLevelType w:val="singleLevel"/>
    <w:tmpl w:val="116B29BF"/>
    <w:lvl w:ilvl="0" w:tentative="0">
      <w:start w:val="3"/>
      <w:numFmt w:val="chineseCounting"/>
      <w:suff w:val="nothing"/>
      <w:lvlText w:val="%1、"/>
      <w:lvlJc w:val="left"/>
      <w:rPr>
        <w:rFonts w:hint="eastAsia"/>
      </w:rPr>
    </w:lvl>
  </w:abstractNum>
  <w:abstractNum w:abstractNumId="4">
    <w:nsid w:val="27813159"/>
    <w:multiLevelType w:val="singleLevel"/>
    <w:tmpl w:val="27813159"/>
    <w:lvl w:ilvl="0" w:tentative="0">
      <w:start w:val="3"/>
      <w:numFmt w:val="chineseCounting"/>
      <w:suff w:val="nothing"/>
      <w:lvlText w:val="（%1）"/>
      <w:lvlJc w:val="left"/>
      <w:rPr>
        <w:rFonts w:hint="eastAsia"/>
      </w:rPr>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411CA3"/>
    <w:rsid w:val="006F7242"/>
    <w:rsid w:val="007B168A"/>
    <w:rsid w:val="008B2CFE"/>
    <w:rsid w:val="009444C8"/>
    <w:rsid w:val="00A20187"/>
    <w:rsid w:val="00F26FF6"/>
    <w:rsid w:val="01BE7323"/>
    <w:rsid w:val="021F7DC1"/>
    <w:rsid w:val="02372319"/>
    <w:rsid w:val="027A76EE"/>
    <w:rsid w:val="02B639A3"/>
    <w:rsid w:val="0371289F"/>
    <w:rsid w:val="05FB28F4"/>
    <w:rsid w:val="066E0546"/>
    <w:rsid w:val="06A44D39"/>
    <w:rsid w:val="07397B77"/>
    <w:rsid w:val="076170CE"/>
    <w:rsid w:val="07D63618"/>
    <w:rsid w:val="080C528C"/>
    <w:rsid w:val="083C4C0D"/>
    <w:rsid w:val="08D321F3"/>
    <w:rsid w:val="08E92ED7"/>
    <w:rsid w:val="0AE065AF"/>
    <w:rsid w:val="0D1F336B"/>
    <w:rsid w:val="0D59372E"/>
    <w:rsid w:val="0E43308A"/>
    <w:rsid w:val="0F0547E3"/>
    <w:rsid w:val="10AD2823"/>
    <w:rsid w:val="11BF6ECB"/>
    <w:rsid w:val="11D33C3A"/>
    <w:rsid w:val="130D4D0D"/>
    <w:rsid w:val="13471461"/>
    <w:rsid w:val="13517FF7"/>
    <w:rsid w:val="13763F01"/>
    <w:rsid w:val="13B90F01"/>
    <w:rsid w:val="142F28B9"/>
    <w:rsid w:val="15842905"/>
    <w:rsid w:val="1772678E"/>
    <w:rsid w:val="17FF2717"/>
    <w:rsid w:val="17FF6273"/>
    <w:rsid w:val="181066D2"/>
    <w:rsid w:val="1A8626DA"/>
    <w:rsid w:val="1C671E73"/>
    <w:rsid w:val="1E4470D6"/>
    <w:rsid w:val="1F6F21BA"/>
    <w:rsid w:val="20261FEC"/>
    <w:rsid w:val="215F54AB"/>
    <w:rsid w:val="221C5C74"/>
    <w:rsid w:val="22941D70"/>
    <w:rsid w:val="247608C9"/>
    <w:rsid w:val="253A4D8F"/>
    <w:rsid w:val="269059F2"/>
    <w:rsid w:val="26CF7759"/>
    <w:rsid w:val="273B6B9C"/>
    <w:rsid w:val="273E043A"/>
    <w:rsid w:val="27F31225"/>
    <w:rsid w:val="28A644E9"/>
    <w:rsid w:val="29811395"/>
    <w:rsid w:val="29BA46F0"/>
    <w:rsid w:val="2C5D6DF7"/>
    <w:rsid w:val="2C701096"/>
    <w:rsid w:val="2CFA3055"/>
    <w:rsid w:val="306B6744"/>
    <w:rsid w:val="30C85944"/>
    <w:rsid w:val="329675D7"/>
    <w:rsid w:val="32FC18D5"/>
    <w:rsid w:val="349A13A6"/>
    <w:rsid w:val="34B7766B"/>
    <w:rsid w:val="369B4DC9"/>
    <w:rsid w:val="36DE12F2"/>
    <w:rsid w:val="37865C12"/>
    <w:rsid w:val="38B14F10"/>
    <w:rsid w:val="38CA40DD"/>
    <w:rsid w:val="395F2B56"/>
    <w:rsid w:val="39900FC9"/>
    <w:rsid w:val="39A07F0A"/>
    <w:rsid w:val="3B0A76E0"/>
    <w:rsid w:val="3BB32D4D"/>
    <w:rsid w:val="3BECE841"/>
    <w:rsid w:val="3C2324A0"/>
    <w:rsid w:val="3C5E715D"/>
    <w:rsid w:val="3C6127A9"/>
    <w:rsid w:val="3C7C5835"/>
    <w:rsid w:val="3D3304FA"/>
    <w:rsid w:val="3DFF671E"/>
    <w:rsid w:val="3E497999"/>
    <w:rsid w:val="3EC84D62"/>
    <w:rsid w:val="3EE020AB"/>
    <w:rsid w:val="3EEB0A50"/>
    <w:rsid w:val="3EEC29A8"/>
    <w:rsid w:val="3F0C144A"/>
    <w:rsid w:val="3F854A01"/>
    <w:rsid w:val="3FF7797D"/>
    <w:rsid w:val="3FF853EA"/>
    <w:rsid w:val="407927B7"/>
    <w:rsid w:val="4081341A"/>
    <w:rsid w:val="415428DD"/>
    <w:rsid w:val="4206635C"/>
    <w:rsid w:val="425828A0"/>
    <w:rsid w:val="43397FDC"/>
    <w:rsid w:val="441445A5"/>
    <w:rsid w:val="44D3620E"/>
    <w:rsid w:val="45857508"/>
    <w:rsid w:val="45B46040"/>
    <w:rsid w:val="46102182"/>
    <w:rsid w:val="46380A1F"/>
    <w:rsid w:val="46603AD2"/>
    <w:rsid w:val="46C67DD9"/>
    <w:rsid w:val="46C87FF5"/>
    <w:rsid w:val="470E79D1"/>
    <w:rsid w:val="48256D81"/>
    <w:rsid w:val="48CC18F2"/>
    <w:rsid w:val="495F7030"/>
    <w:rsid w:val="4A08695A"/>
    <w:rsid w:val="4AE03433"/>
    <w:rsid w:val="4B06733D"/>
    <w:rsid w:val="4BDC009E"/>
    <w:rsid w:val="4CAD438D"/>
    <w:rsid w:val="4DFA2A5E"/>
    <w:rsid w:val="4E0A0EF3"/>
    <w:rsid w:val="4F1764A1"/>
    <w:rsid w:val="4F4F0B87"/>
    <w:rsid w:val="4F7D56F4"/>
    <w:rsid w:val="504B57F2"/>
    <w:rsid w:val="50591CBD"/>
    <w:rsid w:val="506A5C79"/>
    <w:rsid w:val="508F56DF"/>
    <w:rsid w:val="50C92051"/>
    <w:rsid w:val="515661FD"/>
    <w:rsid w:val="51A056CA"/>
    <w:rsid w:val="54CB0CB0"/>
    <w:rsid w:val="554271C4"/>
    <w:rsid w:val="556709D9"/>
    <w:rsid w:val="563015EF"/>
    <w:rsid w:val="57686C8A"/>
    <w:rsid w:val="58E81250"/>
    <w:rsid w:val="59773805"/>
    <w:rsid w:val="59A301AC"/>
    <w:rsid w:val="5AA93841"/>
    <w:rsid w:val="5AAC3332"/>
    <w:rsid w:val="5BFF6039"/>
    <w:rsid w:val="5C9A1694"/>
    <w:rsid w:val="5CF1327E"/>
    <w:rsid w:val="5D323FC2"/>
    <w:rsid w:val="5D76A616"/>
    <w:rsid w:val="5D7F20B9"/>
    <w:rsid w:val="5DA402F0"/>
    <w:rsid w:val="5DAC7D0E"/>
    <w:rsid w:val="5DE66B5A"/>
    <w:rsid w:val="5DF272AD"/>
    <w:rsid w:val="5E1F1E09"/>
    <w:rsid w:val="5E8E6FD6"/>
    <w:rsid w:val="5E91222E"/>
    <w:rsid w:val="5F98B5AF"/>
    <w:rsid w:val="5FFE8511"/>
    <w:rsid w:val="5FFEACE2"/>
    <w:rsid w:val="60613222"/>
    <w:rsid w:val="60E2185B"/>
    <w:rsid w:val="612C61C5"/>
    <w:rsid w:val="61604D1E"/>
    <w:rsid w:val="617A7CE6"/>
    <w:rsid w:val="61976527"/>
    <w:rsid w:val="61E02E23"/>
    <w:rsid w:val="61F5736C"/>
    <w:rsid w:val="635D166D"/>
    <w:rsid w:val="63C63647"/>
    <w:rsid w:val="643EE26D"/>
    <w:rsid w:val="672A3F5C"/>
    <w:rsid w:val="676A70D7"/>
    <w:rsid w:val="67B0620F"/>
    <w:rsid w:val="694E0021"/>
    <w:rsid w:val="6CA34594"/>
    <w:rsid w:val="6CE9601A"/>
    <w:rsid w:val="6D0E38DD"/>
    <w:rsid w:val="6DEA7FA1"/>
    <w:rsid w:val="6DF456B4"/>
    <w:rsid w:val="6E5518BE"/>
    <w:rsid w:val="6EE844E0"/>
    <w:rsid w:val="6F5C41AC"/>
    <w:rsid w:val="6FAF6C78"/>
    <w:rsid w:val="6FCC5BB0"/>
    <w:rsid w:val="7124644E"/>
    <w:rsid w:val="71267542"/>
    <w:rsid w:val="716A5681"/>
    <w:rsid w:val="71D46F9E"/>
    <w:rsid w:val="72E1679A"/>
    <w:rsid w:val="7317C656"/>
    <w:rsid w:val="734ED73F"/>
    <w:rsid w:val="73DE6B17"/>
    <w:rsid w:val="743031C2"/>
    <w:rsid w:val="74D13C69"/>
    <w:rsid w:val="75330480"/>
    <w:rsid w:val="767B3E8C"/>
    <w:rsid w:val="77170059"/>
    <w:rsid w:val="77FD8BE9"/>
    <w:rsid w:val="79382508"/>
    <w:rsid w:val="79635186"/>
    <w:rsid w:val="79A9BD3F"/>
    <w:rsid w:val="79E104AA"/>
    <w:rsid w:val="7ACA6029"/>
    <w:rsid w:val="7BFFFDD0"/>
    <w:rsid w:val="7C336E5F"/>
    <w:rsid w:val="7CC145C3"/>
    <w:rsid w:val="7CD97B5E"/>
    <w:rsid w:val="7D7A5F86"/>
    <w:rsid w:val="7D957F29"/>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10145</Words>
  <Characters>10520</Characters>
  <Lines>58</Lines>
  <Paragraphs>16</Paragraphs>
  <TotalTime>1</TotalTime>
  <ScaleCrop>false</ScaleCrop>
  <LinksUpToDate>false</LinksUpToDate>
  <CharactersWithSpaces>10529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2023-04-10T03:03:34Z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DEB37354E36D40D48F20A3DAB18895C3</vt:lpwstr>
  </property>
</Properties>
</file>