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67CF14">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2534029A">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3BF3A82">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D79F5C8">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color w:val="auto"/>
          <w:sz w:val="44"/>
          <w:szCs w:val="44"/>
          <w:highlight w:val="none"/>
          <w:lang w:val="en-US" w:eastAsia="zh-CN"/>
        </w:rPr>
        <w:t>新疆艺术剧院歌舞团</w:t>
      </w:r>
      <w:r>
        <w:rPr>
          <w:rFonts w:hint="eastAsia" w:ascii="方正小标宋_GBK" w:hAnsi="宋体" w:eastAsia="方正小标宋_GBK"/>
          <w:sz w:val="44"/>
          <w:szCs w:val="44"/>
          <w:highlight w:val="none"/>
          <w:lang w:eastAsia="zh-CN"/>
        </w:rPr>
        <w:t>20</w:t>
      </w:r>
      <w:r>
        <w:rPr>
          <w:rFonts w:hint="eastAsia" w:ascii="方正小标宋_GBK" w:hAnsi="宋体" w:eastAsia="方正小标宋_GBK"/>
          <w:sz w:val="44"/>
          <w:szCs w:val="44"/>
          <w:highlight w:val="none"/>
          <w:lang w:val="en-US" w:eastAsia="zh-CN"/>
        </w:rPr>
        <w:t>2</w:t>
      </w:r>
      <w:r>
        <w:rPr>
          <w:rFonts w:hint="eastAsia" w:ascii="方正小标宋_GBK" w:hAnsi="宋体" w:eastAsia="方正小标宋_GBK"/>
          <w:sz w:val="44"/>
          <w:szCs w:val="44"/>
          <w:highlight w:val="none"/>
          <w:lang w:eastAsia="zh-CN"/>
        </w:rPr>
        <w:t>4年度</w:t>
      </w:r>
      <w:r>
        <w:rPr>
          <w:rFonts w:hint="eastAsia" w:ascii="方正小标宋_GBK" w:hAnsi="宋体" w:eastAsia="方正小标宋_GBK"/>
          <w:sz w:val="44"/>
          <w:szCs w:val="44"/>
          <w:highlight w:val="none"/>
        </w:rPr>
        <w:t>部门</w:t>
      </w:r>
    </w:p>
    <w:p w14:paraId="0E34FF23">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决算公开说明</w:t>
      </w:r>
    </w:p>
    <w:p w14:paraId="0134CCD9">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262A8F24">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_Toc11287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01DD7D2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_Toc20011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61ADFEA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_Toc9893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D10BACE">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_Toc25988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07BB4E3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_Toc688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226FC0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_Toc17856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07B20E5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_Toc29956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5E4DC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_Toc25936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00F1BB0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_Toc9174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666C4AD7">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_Toc23792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78AA78E0">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_Toc10960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41C6C01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_Toc4124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0FD4A8C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_Toc1058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217192FF">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_Toc19007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64B7CE5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_Toc10121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7B62571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_Toc32313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0FE9D5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_Toc30255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47D1DC9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_Toc813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21208939">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_Toc707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14CFC43C">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_Toc16573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3E7C2F0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_Toc32589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6DB999A7">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_Toc3606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二</w:t>
      </w:r>
      <w:r>
        <w:rPr>
          <w:rFonts w:hint="eastAsia" w:ascii="仿宋_GB2312" w:hAnsi="仿宋_GB2312" w:eastAsia="仿宋_GB2312" w:cs="仿宋_GB2312"/>
          <w:bCs/>
          <w:kern w:val="0"/>
          <w:sz w:val="32"/>
          <w:szCs w:val="32"/>
          <w:highlight w:val="none"/>
          <w:lang w:eastAsia="zh-CN"/>
        </w:rPr>
        <w:t>、其他需说明的事项</w:t>
      </w:r>
      <w:r>
        <w:rPr>
          <w:rFonts w:hint="eastAsia" w:ascii="仿宋_GB2312" w:hAnsi="仿宋_GB2312" w:eastAsia="仿宋_GB2312" w:cs="仿宋_GB2312"/>
          <w:sz w:val="32"/>
          <w:szCs w:val="32"/>
          <w:highlight w:val="none"/>
        </w:rPr>
        <w:fldChar w:fldCharType="end"/>
      </w:r>
    </w:p>
    <w:p w14:paraId="7BFCE864">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_Toc9851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65D67BA5">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_Toc25218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w:t>
      </w:r>
      <w:r>
        <w:rPr>
          <w:rFonts w:hint="eastAsia" w:ascii="仿宋_GB2312" w:hAnsi="仿宋_GB2312" w:eastAsia="仿宋_GB2312" w:cs="仿宋_GB2312"/>
          <w:b/>
          <w:bCs/>
          <w:sz w:val="32"/>
          <w:szCs w:val="32"/>
          <w:highlight w:val="none"/>
          <w:lang w:val="en-US" w:eastAsia="zh-CN"/>
        </w:rPr>
        <w:t>附件1</w:t>
      </w:r>
      <w:r>
        <w:rPr>
          <w:rFonts w:hint="eastAsia" w:ascii="仿宋_GB2312" w:hAnsi="仿宋_GB2312" w:eastAsia="仿宋_GB2312" w:cs="仿宋_GB2312"/>
          <w:b/>
          <w:bCs/>
          <w:sz w:val="32"/>
          <w:szCs w:val="32"/>
          <w:highlight w:val="none"/>
        </w:rPr>
        <w:t>）</w:t>
      </w:r>
      <w:r>
        <w:rPr>
          <w:rFonts w:hint="eastAsia" w:ascii="仿宋_GB2312" w:hAnsi="仿宋_GB2312" w:eastAsia="仿宋_GB2312" w:cs="仿宋_GB2312"/>
          <w:b/>
          <w:bCs/>
          <w:sz w:val="32"/>
          <w:szCs w:val="32"/>
          <w:highlight w:val="none"/>
        </w:rPr>
        <w:fldChar w:fldCharType="end"/>
      </w:r>
    </w:p>
    <w:p w14:paraId="6E5E598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_Toc25722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314C1027">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_Toc11095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60D6795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_Toc25511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74561C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_Toc31346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0675F58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_Toc910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6B50CE9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_Toc6578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4B012F61">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_Toc13584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4B973E4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_Toc13058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0422E4D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_Toc19637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013C5AAD">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_Toc25218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五</w:t>
      </w:r>
      <w:r>
        <w:rPr>
          <w:rFonts w:hint="eastAsia" w:ascii="仿宋_GB2312" w:hAnsi="仿宋_GB2312" w:eastAsia="仿宋_GB2312" w:cs="仿宋_GB2312"/>
          <w:b/>
          <w:bCs/>
          <w:sz w:val="32"/>
          <w:szCs w:val="32"/>
          <w:highlight w:val="none"/>
        </w:rPr>
        <w:t xml:space="preserve">部分 </w:t>
      </w:r>
      <w:r>
        <w:rPr>
          <w:rFonts w:hint="eastAsia" w:ascii="仿宋_GB2312" w:hAnsi="仿宋_GB2312" w:eastAsia="仿宋_GB2312" w:cs="仿宋_GB2312"/>
          <w:b/>
          <w:bCs/>
          <w:sz w:val="32"/>
          <w:szCs w:val="32"/>
          <w:highlight w:val="none"/>
          <w:lang w:val="en-US" w:eastAsia="zh-CN"/>
        </w:rPr>
        <w:t>项目绩效自评</w:t>
      </w:r>
      <w:r>
        <w:rPr>
          <w:rFonts w:hint="eastAsia" w:ascii="仿宋_GB2312" w:hAnsi="仿宋_GB2312" w:eastAsia="仿宋_GB2312" w:cs="仿宋_GB2312"/>
          <w:b/>
          <w:bCs/>
          <w:sz w:val="32"/>
          <w:szCs w:val="32"/>
          <w:highlight w:val="none"/>
        </w:rPr>
        <w:t>表（见</w:t>
      </w:r>
      <w:r>
        <w:rPr>
          <w:rFonts w:hint="eastAsia" w:ascii="仿宋_GB2312" w:hAnsi="仿宋_GB2312" w:eastAsia="仿宋_GB2312" w:cs="仿宋_GB2312"/>
          <w:b/>
          <w:bCs/>
          <w:sz w:val="32"/>
          <w:szCs w:val="32"/>
          <w:highlight w:val="none"/>
          <w:lang w:val="en-US" w:eastAsia="zh-CN"/>
        </w:rPr>
        <w:t>附件2</w:t>
      </w:r>
      <w:r>
        <w:rPr>
          <w:rFonts w:hint="eastAsia" w:ascii="仿宋_GB2312" w:hAnsi="仿宋_GB2312" w:eastAsia="仿宋_GB2312" w:cs="仿宋_GB2312"/>
          <w:b/>
          <w:bCs/>
          <w:sz w:val="32"/>
          <w:szCs w:val="32"/>
          <w:highlight w:val="none"/>
        </w:rPr>
        <w:t>）</w:t>
      </w:r>
      <w:r>
        <w:rPr>
          <w:rFonts w:hint="eastAsia" w:ascii="仿宋_GB2312" w:hAnsi="仿宋_GB2312" w:eastAsia="仿宋_GB2312" w:cs="仿宋_GB2312"/>
          <w:b/>
          <w:bCs/>
          <w:sz w:val="32"/>
          <w:szCs w:val="32"/>
          <w:highlight w:val="none"/>
        </w:rPr>
        <w:fldChar w:fldCharType="end"/>
      </w:r>
    </w:p>
    <w:p w14:paraId="2A4B69ED"/>
    <w:p w14:paraId="5286FFB8">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sz w:val="32"/>
          <w:szCs w:val="32"/>
          <w:highlight w:val="yellow"/>
        </w:rPr>
      </w:pPr>
      <w:r>
        <w:rPr>
          <w:rFonts w:hint="eastAsia" w:ascii="仿宋_GB2312" w:hAnsi="仿宋_GB2312" w:eastAsia="仿宋_GB2312" w:cs="仿宋_GB2312"/>
          <w:szCs w:val="32"/>
          <w:highlight w:val="none"/>
        </w:rPr>
        <w:fldChar w:fldCharType="end"/>
      </w:r>
      <w:bookmarkStart w:id="0" w:name="_Toc11287"/>
      <w:r>
        <w:rPr>
          <w:rFonts w:hint="eastAsia" w:ascii="仿宋_GB2312" w:eastAsia="仿宋_GB2312"/>
          <w:sz w:val="32"/>
          <w:szCs w:val="32"/>
          <w:highlight w:val="none"/>
        </w:rPr>
        <w:br w:type="page"/>
      </w:r>
      <w:bookmarkStart w:id="1" w:name="_Toc24028"/>
      <w:r>
        <w:rPr>
          <w:rFonts w:hint="eastAsia" w:ascii="黑体" w:hAnsi="黑体" w:eastAsia="黑体"/>
          <w:sz w:val="32"/>
          <w:szCs w:val="32"/>
          <w:highlight w:val="none"/>
        </w:rPr>
        <w:t>第一部分 单位概况</w:t>
      </w:r>
      <w:bookmarkEnd w:id="0"/>
      <w:bookmarkEnd w:id="1"/>
    </w:p>
    <w:p w14:paraId="0151377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kern w:val="0"/>
          <w:sz w:val="32"/>
          <w:szCs w:val="32"/>
          <w:highlight w:val="none"/>
        </w:rPr>
      </w:pPr>
      <w:bookmarkStart w:id="2" w:name="_Toc30738"/>
      <w:bookmarkStart w:id="3" w:name="_Toc20011"/>
      <w:r>
        <w:rPr>
          <w:rFonts w:hint="eastAsia" w:ascii="黑体" w:hAnsi="黑体" w:eastAsia="黑体" w:cs="宋体"/>
          <w:bCs/>
          <w:kern w:val="0"/>
          <w:sz w:val="32"/>
          <w:szCs w:val="32"/>
          <w:highlight w:val="none"/>
        </w:rPr>
        <w:t>一、主要职能</w:t>
      </w:r>
      <w:bookmarkEnd w:id="2"/>
      <w:bookmarkEnd w:id="3"/>
    </w:p>
    <w:p w14:paraId="7C03871E">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sz w:val="32"/>
          <w:szCs w:val="32"/>
          <w:highlight w:val="none"/>
          <w:lang w:val="en-US" w:eastAsia="zh-CN"/>
        </w:rPr>
      </w:pPr>
      <w:r>
        <w:rPr>
          <w:rFonts w:hint="eastAsia" w:ascii="仿宋_GB2312" w:eastAsia="仿宋_GB2312"/>
          <w:sz w:val="32"/>
          <w:szCs w:val="32"/>
          <w:highlight w:val="none"/>
          <w:lang w:val="en-US" w:eastAsia="zh-CN"/>
        </w:rPr>
        <w:t>新疆艺术剧院歌舞团主要职能是排练演出新疆少数民族音乐歌舞剧（节）目；继承和借鉴各民族优秀文化艺术，促进新疆音乐歌舞的创新与发展。</w:t>
      </w:r>
    </w:p>
    <w:p w14:paraId="7C5B6D4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4" w:name="_Toc31238"/>
      <w:bookmarkStart w:id="5" w:name="_Toc9893"/>
      <w:r>
        <w:rPr>
          <w:rFonts w:hint="eastAsia" w:ascii="黑体" w:hAnsi="黑体" w:eastAsia="黑体" w:cs="宋体"/>
          <w:bCs/>
          <w:kern w:val="0"/>
          <w:sz w:val="32"/>
          <w:szCs w:val="32"/>
          <w:highlight w:val="none"/>
        </w:rPr>
        <w:t>二、机构设置</w:t>
      </w:r>
      <w:r>
        <w:rPr>
          <w:rFonts w:hint="eastAsia" w:ascii="黑体" w:hAnsi="黑体" w:eastAsia="黑体" w:cs="宋体"/>
          <w:bCs/>
          <w:kern w:val="0"/>
          <w:sz w:val="32"/>
          <w:szCs w:val="32"/>
          <w:highlight w:val="none"/>
          <w:lang w:eastAsia="zh-CN"/>
        </w:rPr>
        <w:t>及</w:t>
      </w:r>
      <w:bookmarkEnd w:id="4"/>
      <w:r>
        <w:rPr>
          <w:rFonts w:hint="eastAsia" w:ascii="黑体" w:hAnsi="黑体" w:eastAsia="黑体" w:cs="宋体"/>
          <w:bCs/>
          <w:kern w:val="0"/>
          <w:sz w:val="32"/>
          <w:szCs w:val="32"/>
          <w:highlight w:val="none"/>
          <w:lang w:eastAsia="zh-CN"/>
        </w:rPr>
        <w:t>人员</w:t>
      </w:r>
      <w:r>
        <w:rPr>
          <w:rFonts w:hint="eastAsia" w:ascii="黑体" w:hAnsi="黑体" w:eastAsia="黑体" w:cs="宋体"/>
          <w:bCs/>
          <w:kern w:val="0"/>
          <w:sz w:val="32"/>
          <w:szCs w:val="32"/>
          <w:highlight w:val="none"/>
        </w:rPr>
        <w:t>情况</w:t>
      </w:r>
      <w:bookmarkEnd w:id="5"/>
    </w:p>
    <w:p w14:paraId="4C935AC3">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sz w:val="32"/>
          <w:szCs w:val="32"/>
          <w:highlight w:val="none"/>
        </w:rPr>
      </w:pPr>
      <w:r>
        <w:rPr>
          <w:rFonts w:hint="eastAsia" w:ascii="仿宋_GB2312" w:eastAsia="仿宋_GB2312"/>
          <w:sz w:val="32"/>
          <w:szCs w:val="32"/>
          <w:highlight w:val="none"/>
        </w:rPr>
        <w:t>新疆艺术剧院歌舞团2024年度，实有人数209人，其中：在职人员85人，增加0人；离休人员1人，增加0人；退休人员123人，减少1人。</w:t>
      </w:r>
    </w:p>
    <w:p w14:paraId="085A91EF">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sz w:val="32"/>
          <w:szCs w:val="32"/>
          <w:highlight w:val="none"/>
        </w:rPr>
      </w:pPr>
      <w:r>
        <w:rPr>
          <w:rFonts w:hint="eastAsia" w:ascii="仿宋_GB2312" w:eastAsia="仿宋_GB2312"/>
          <w:sz w:val="32"/>
          <w:szCs w:val="32"/>
          <w:highlight w:val="none"/>
        </w:rPr>
        <w:t>新疆艺术剧院歌舞团无下属预算单位，下设4个科室，分别是：办公室、舞蹈队、歌队、创研室。</w:t>
      </w:r>
    </w:p>
    <w:p w14:paraId="3C42A3F7">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hAnsi="宋体" w:eastAsia="仿宋_GB2312" w:cs="宋体"/>
          <w:kern w:val="0"/>
          <w:sz w:val="32"/>
          <w:szCs w:val="32"/>
          <w:highlight w:val="none"/>
        </w:rPr>
        <w:sectPr>
          <w:footerReference r:id="rId3" w:type="default"/>
          <w:pgSz w:w="11906" w:h="16838"/>
          <w:pgMar w:top="1440" w:right="1800" w:bottom="1440" w:left="1800" w:header="851" w:footer="992" w:gutter="0"/>
          <w:cols w:space="720" w:num="1"/>
          <w:docGrid w:type="lines" w:linePitch="312" w:charSpace="0"/>
        </w:sectPr>
      </w:pPr>
    </w:p>
    <w:p w14:paraId="3205AFF6">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sz w:val="32"/>
          <w:szCs w:val="32"/>
          <w:highlight w:val="none"/>
        </w:rPr>
      </w:pPr>
      <w:bookmarkStart w:id="6" w:name="_Toc3092"/>
      <w:bookmarkStart w:id="7" w:name="_Toc25988"/>
      <w:r>
        <w:rPr>
          <w:rFonts w:hint="eastAsia" w:ascii="黑体" w:hAnsi="黑体" w:eastAsia="黑体"/>
          <w:sz w:val="32"/>
          <w:szCs w:val="32"/>
          <w:highlight w:val="none"/>
        </w:rPr>
        <w:t>第</w:t>
      </w:r>
      <w:r>
        <w:rPr>
          <w:rFonts w:hint="eastAsia" w:ascii="黑体" w:hAnsi="黑体" w:eastAsia="黑体"/>
          <w:sz w:val="32"/>
          <w:szCs w:val="32"/>
          <w:highlight w:val="none"/>
          <w:lang w:val="en-US" w:eastAsia="zh-CN"/>
        </w:rPr>
        <w:t>二</w:t>
      </w:r>
      <w:r>
        <w:rPr>
          <w:rFonts w:hint="eastAsia" w:ascii="黑体" w:hAnsi="黑体" w:eastAsia="黑体"/>
          <w:sz w:val="32"/>
          <w:szCs w:val="32"/>
          <w:highlight w:val="none"/>
        </w:rPr>
        <w:t>部分 部门决算情况说明</w:t>
      </w:r>
      <w:bookmarkEnd w:id="6"/>
      <w:bookmarkEnd w:id="7"/>
    </w:p>
    <w:p w14:paraId="331C780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8" w:name="_Toc688"/>
      <w:bookmarkStart w:id="9" w:name="_Toc12566"/>
      <w:r>
        <w:rPr>
          <w:rFonts w:hint="eastAsia" w:ascii="黑体" w:hAnsi="黑体" w:eastAsia="黑体" w:cs="宋体"/>
          <w:bCs/>
          <w:kern w:val="0"/>
          <w:sz w:val="32"/>
          <w:szCs w:val="32"/>
          <w:highlight w:val="none"/>
        </w:rPr>
        <w:t>一、收入支出决算总体情况说明</w:t>
      </w:r>
      <w:bookmarkEnd w:id="8"/>
      <w:bookmarkEnd w:id="9"/>
    </w:p>
    <w:p w14:paraId="74AF62CD">
      <w:pPr>
        <w:keepNext w:val="0"/>
        <w:keepLines w:val="0"/>
        <w:pageBreakBefore w:val="0"/>
        <w:widowControl w:val="0"/>
        <w:kinsoku/>
        <w:wordWrap/>
        <w:overflowPunct/>
        <w:topLinePunct w:val="0"/>
        <w:autoSpaceDE/>
        <w:autoSpaceDN/>
        <w:bidi w:val="0"/>
        <w:adjustRightInd/>
        <w:snapToGrid/>
        <w:spacing w:line="240" w:lineRule="auto"/>
        <w:ind w:firstLine="643" w:firstLineChars="200"/>
        <w:textAlignment w:val="auto"/>
        <w:rPr>
          <w:rFonts w:hint="eastAsia" w:ascii="仿宋_GB2312" w:eastAsia="仿宋_GB2312"/>
          <w:sz w:val="32"/>
          <w:szCs w:val="32"/>
          <w:highlight w:val="none"/>
        </w:rPr>
      </w:pPr>
      <w:r>
        <w:rPr>
          <w:rFonts w:hint="eastAsia" w:ascii="仿宋_GB2312" w:eastAsia="仿宋_GB2312"/>
          <w:b/>
          <w:bCs/>
          <w:sz w:val="32"/>
          <w:szCs w:val="32"/>
          <w:highlight w:val="none"/>
        </w:rPr>
        <w:t>2024年度收入总计3,432.13万元，</w:t>
      </w:r>
      <w:r>
        <w:rPr>
          <w:rFonts w:hint="eastAsia" w:ascii="仿宋_GB2312" w:eastAsia="仿宋_GB2312"/>
          <w:sz w:val="32"/>
          <w:szCs w:val="32"/>
          <w:highlight w:val="none"/>
        </w:rPr>
        <w:t>其中：本年收入合计3,394.85万元，使用非财政拨款结余（含专用结余）0.00万元，年初结转和结余37.28万元。</w:t>
      </w:r>
    </w:p>
    <w:p w14:paraId="6C9CB0A9">
      <w:pPr>
        <w:keepNext w:val="0"/>
        <w:keepLines w:val="0"/>
        <w:pageBreakBefore w:val="0"/>
        <w:widowControl w:val="0"/>
        <w:kinsoku/>
        <w:wordWrap/>
        <w:overflowPunct/>
        <w:topLinePunct w:val="0"/>
        <w:autoSpaceDE/>
        <w:autoSpaceDN/>
        <w:bidi w:val="0"/>
        <w:adjustRightInd/>
        <w:snapToGrid/>
        <w:spacing w:line="240" w:lineRule="auto"/>
        <w:ind w:firstLine="643" w:firstLineChars="200"/>
        <w:textAlignment w:val="auto"/>
        <w:rPr>
          <w:rFonts w:hint="eastAsia" w:ascii="仿宋_GB2312" w:eastAsia="仿宋_GB2312"/>
          <w:sz w:val="32"/>
          <w:szCs w:val="32"/>
          <w:highlight w:val="none"/>
        </w:rPr>
      </w:pPr>
      <w:r>
        <w:rPr>
          <w:rFonts w:hint="eastAsia" w:ascii="仿宋_GB2312" w:eastAsia="仿宋_GB2312"/>
          <w:b/>
          <w:bCs/>
          <w:sz w:val="32"/>
          <w:szCs w:val="32"/>
          <w:highlight w:val="none"/>
        </w:rPr>
        <w:t>2024年度支出总计3,432.13万元，</w:t>
      </w:r>
      <w:r>
        <w:rPr>
          <w:rFonts w:hint="eastAsia" w:ascii="仿宋_GB2312" w:eastAsia="仿宋_GB2312"/>
          <w:sz w:val="32"/>
          <w:szCs w:val="32"/>
          <w:highlight w:val="none"/>
        </w:rPr>
        <w:t>其中：本年支出合计3,388.73万元，结余分配0.00万元，年末结转和结余43.39万元。</w:t>
      </w:r>
    </w:p>
    <w:p w14:paraId="07700AB6">
      <w:pPr>
        <w:keepNext w:val="0"/>
        <w:keepLines w:val="0"/>
        <w:pageBreakBefore w:val="0"/>
        <w:widowControl w:val="0"/>
        <w:kinsoku/>
        <w:wordWrap/>
        <w:overflowPunct/>
        <w:topLinePunct w:val="0"/>
        <w:autoSpaceDE/>
        <w:autoSpaceDN/>
        <w:bidi w:val="0"/>
        <w:adjustRightInd/>
        <w:snapToGrid/>
        <w:spacing w:line="240" w:lineRule="auto"/>
        <w:ind w:firstLine="643" w:firstLineChars="200"/>
        <w:textAlignment w:val="auto"/>
        <w:rPr>
          <w:rFonts w:hint="eastAsia" w:ascii="仿宋_GB2312" w:eastAsia="仿宋_GB2312"/>
          <w:sz w:val="32"/>
          <w:szCs w:val="32"/>
          <w:highlight w:val="none"/>
        </w:rPr>
      </w:pPr>
      <w:r>
        <w:rPr>
          <w:rFonts w:hint="eastAsia" w:ascii="仿宋_GB2312" w:eastAsia="仿宋_GB2312"/>
          <w:b/>
          <w:bCs/>
          <w:sz w:val="32"/>
          <w:szCs w:val="32"/>
          <w:highlight w:val="none"/>
        </w:rPr>
        <w:t>收入支出总体与上年相比，</w:t>
      </w:r>
      <w:r>
        <w:rPr>
          <w:rFonts w:hint="eastAsia" w:ascii="仿宋_GB2312" w:eastAsia="仿宋_GB2312"/>
          <w:sz w:val="32"/>
          <w:szCs w:val="32"/>
          <w:highlight w:val="none"/>
        </w:rPr>
        <w:t>减少327.88万元，下降8.72%，主要原因是：本年减少古尔邦节项目经费、文艺扶持激励项目、创作扶持经费、旅游发展专项经费、国家艺术基金项目经费、文旅部《张骞》项目经费等</w:t>
      </w:r>
      <w:r>
        <w:rPr>
          <w:rFonts w:hint="eastAsia" w:ascii="仿宋_GB2312" w:eastAsia="仿宋_GB2312"/>
          <w:sz w:val="32"/>
          <w:szCs w:val="32"/>
          <w:highlight w:val="none"/>
          <w:lang w:eastAsia="zh-CN"/>
        </w:rPr>
        <w:t>。</w:t>
      </w:r>
    </w:p>
    <w:p w14:paraId="0647DA44">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rPr>
      </w:pPr>
      <w:bookmarkStart w:id="10" w:name="_Toc1979"/>
      <w:bookmarkStart w:id="11" w:name="_Toc17856"/>
      <w:r>
        <w:rPr>
          <w:rFonts w:hint="eastAsia" w:ascii="黑体" w:hAnsi="黑体" w:eastAsia="黑体" w:cs="宋体"/>
          <w:bCs/>
          <w:kern w:val="0"/>
          <w:sz w:val="32"/>
          <w:szCs w:val="32"/>
          <w:highlight w:val="none"/>
          <w:lang w:eastAsia="zh-CN"/>
        </w:rPr>
        <w:t>二、</w:t>
      </w:r>
      <w:r>
        <w:rPr>
          <w:rFonts w:hint="eastAsia" w:ascii="黑体" w:hAnsi="黑体" w:eastAsia="黑体" w:cs="宋体"/>
          <w:bCs/>
          <w:kern w:val="0"/>
          <w:sz w:val="32"/>
          <w:szCs w:val="32"/>
          <w:highlight w:val="none"/>
        </w:rPr>
        <w:t>收入</w:t>
      </w:r>
      <w:r>
        <w:rPr>
          <w:rFonts w:hint="eastAsia" w:ascii="黑体" w:hAnsi="黑体" w:eastAsia="黑体" w:cs="宋体"/>
          <w:bCs/>
          <w:kern w:val="0"/>
          <w:sz w:val="32"/>
          <w:szCs w:val="32"/>
          <w:highlight w:val="none"/>
          <w:lang w:eastAsia="zh-CN"/>
        </w:rPr>
        <w:t>决算</w:t>
      </w:r>
      <w:r>
        <w:rPr>
          <w:rFonts w:hint="eastAsia" w:ascii="黑体" w:hAnsi="黑体" w:eastAsia="黑体" w:cs="宋体"/>
          <w:bCs/>
          <w:kern w:val="0"/>
          <w:sz w:val="32"/>
          <w:szCs w:val="32"/>
          <w:highlight w:val="none"/>
        </w:rPr>
        <w:t>情况说明</w:t>
      </w:r>
      <w:bookmarkEnd w:id="10"/>
      <w:bookmarkEnd w:id="11"/>
    </w:p>
    <w:p w14:paraId="12A0AFE9">
      <w:pPr>
        <w:keepNext w:val="0"/>
        <w:keepLines w:val="0"/>
        <w:pageBreakBefore w:val="0"/>
        <w:widowControl w:val="0"/>
        <w:kinsoku/>
        <w:wordWrap/>
        <w:overflowPunct/>
        <w:topLinePunct w:val="0"/>
        <w:autoSpaceDE/>
        <w:autoSpaceDN/>
        <w:bidi w:val="0"/>
        <w:adjustRightInd/>
        <w:snapToGrid/>
        <w:spacing w:line="240" w:lineRule="auto"/>
        <w:ind w:firstLine="643" w:firstLineChars="200"/>
        <w:textAlignment w:val="auto"/>
        <w:rPr>
          <w:rFonts w:hint="eastAsia" w:ascii="仿宋_GB2312" w:eastAsia="仿宋_GB2312"/>
          <w:sz w:val="32"/>
          <w:szCs w:val="32"/>
          <w:highlight w:val="none"/>
        </w:rPr>
      </w:pPr>
      <w:r>
        <w:rPr>
          <w:rFonts w:hint="eastAsia" w:ascii="仿宋_GB2312" w:eastAsia="仿宋_GB2312"/>
          <w:b/>
          <w:bCs/>
          <w:sz w:val="32"/>
          <w:szCs w:val="32"/>
          <w:highlight w:val="none"/>
        </w:rPr>
        <w:t>本年收入3,394.85万元，</w:t>
      </w:r>
      <w:r>
        <w:rPr>
          <w:rFonts w:hint="eastAsia" w:ascii="仿宋_GB2312" w:eastAsia="仿宋_GB2312"/>
          <w:b w:val="0"/>
          <w:bCs w:val="0"/>
          <w:sz w:val="32"/>
          <w:szCs w:val="32"/>
          <w:highlight w:val="none"/>
        </w:rPr>
        <w:t>其中：财政拨款收入2,544.65万元,占74.96%；上级补助收入0.00万元,占0.00%；事业收入98.00万元，占2.89%；经营收入0.00万元,占0.00%；附属单位上缴收入0.00万元，占0.00%；其他收入752.20万元，占22.16%</w:t>
      </w:r>
      <w:r>
        <w:rPr>
          <w:rFonts w:hint="eastAsia" w:ascii="仿宋_GB2312" w:eastAsia="仿宋_GB2312"/>
          <w:sz w:val="32"/>
          <w:szCs w:val="32"/>
          <w:highlight w:val="none"/>
        </w:rPr>
        <w:t>。</w:t>
      </w:r>
    </w:p>
    <w:p w14:paraId="42E2EC0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12" w:name="_Toc29956"/>
      <w:bookmarkStart w:id="13" w:name="_Toc27961"/>
      <w:r>
        <w:rPr>
          <w:rFonts w:hint="eastAsia" w:ascii="黑体" w:hAnsi="黑体" w:eastAsia="黑体" w:cs="宋体"/>
          <w:bCs/>
          <w:kern w:val="0"/>
          <w:sz w:val="32"/>
          <w:szCs w:val="32"/>
          <w:highlight w:val="none"/>
          <w:lang w:eastAsia="zh-CN"/>
        </w:rPr>
        <w:t>三、支出决算情况说明</w:t>
      </w:r>
      <w:bookmarkEnd w:id="12"/>
      <w:bookmarkEnd w:id="13"/>
    </w:p>
    <w:p w14:paraId="35CB9800">
      <w:pPr>
        <w:keepNext w:val="0"/>
        <w:keepLines w:val="0"/>
        <w:pageBreakBefore w:val="0"/>
        <w:widowControl w:val="0"/>
        <w:kinsoku/>
        <w:wordWrap/>
        <w:overflowPunct/>
        <w:topLinePunct w:val="0"/>
        <w:autoSpaceDE/>
        <w:autoSpaceDN/>
        <w:bidi w:val="0"/>
        <w:adjustRightInd/>
        <w:snapToGrid/>
        <w:spacing w:line="240" w:lineRule="auto"/>
        <w:ind w:firstLine="643" w:firstLineChars="200"/>
        <w:textAlignment w:val="auto"/>
        <w:rPr>
          <w:rFonts w:hint="eastAsia" w:ascii="仿宋_GB2312" w:eastAsia="仿宋_GB2312"/>
          <w:sz w:val="32"/>
          <w:szCs w:val="32"/>
          <w:highlight w:val="none"/>
          <w:lang w:eastAsia="zh-CN"/>
        </w:rPr>
      </w:pPr>
      <w:r>
        <w:rPr>
          <w:rFonts w:hint="eastAsia" w:ascii="仿宋_GB2312" w:eastAsia="仿宋_GB2312"/>
          <w:b/>
          <w:bCs/>
          <w:sz w:val="32"/>
          <w:szCs w:val="32"/>
          <w:highlight w:val="none"/>
        </w:rPr>
        <w:t>本年支出3,388.73万元，</w:t>
      </w:r>
      <w:r>
        <w:rPr>
          <w:rFonts w:hint="eastAsia" w:ascii="仿宋_GB2312" w:eastAsia="仿宋_GB2312"/>
          <w:b w:val="0"/>
          <w:bCs w:val="0"/>
          <w:sz w:val="32"/>
          <w:szCs w:val="32"/>
          <w:highlight w:val="none"/>
        </w:rPr>
        <w:t>其中：基本支出1,794.60万元，占52.96%；项目支出1,594.13万元，占47.04%；上缴上级支出0.00万元，占0.00%；经营支出0.00万元，占0.00%；对附属单位补助支出0.00万元，占0.00%</w:t>
      </w:r>
      <w:r>
        <w:rPr>
          <w:rFonts w:hint="eastAsia" w:ascii="仿宋_GB2312" w:eastAsia="仿宋_GB2312"/>
          <w:sz w:val="32"/>
          <w:szCs w:val="32"/>
          <w:highlight w:val="none"/>
          <w:lang w:eastAsia="zh-CN"/>
        </w:rPr>
        <w:t>。</w:t>
      </w:r>
    </w:p>
    <w:p w14:paraId="7FB10DB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14" w:name="_Toc25936"/>
      <w:bookmarkStart w:id="15" w:name="_Toc4393"/>
      <w:r>
        <w:rPr>
          <w:rFonts w:hint="eastAsia" w:ascii="黑体" w:hAnsi="黑体" w:eastAsia="黑体" w:cs="宋体"/>
          <w:bCs/>
          <w:kern w:val="0"/>
          <w:sz w:val="32"/>
          <w:szCs w:val="32"/>
          <w:highlight w:val="none"/>
          <w:lang w:eastAsia="zh-CN"/>
        </w:rPr>
        <w:t>四、财政拨款收入支出决算总体情况说明</w:t>
      </w:r>
      <w:bookmarkEnd w:id="14"/>
      <w:bookmarkEnd w:id="15"/>
    </w:p>
    <w:p w14:paraId="0C745E63">
      <w:pPr>
        <w:keepNext w:val="0"/>
        <w:keepLines w:val="0"/>
        <w:pageBreakBefore w:val="0"/>
        <w:widowControl w:val="0"/>
        <w:kinsoku/>
        <w:wordWrap/>
        <w:overflowPunct/>
        <w:topLinePunct w:val="0"/>
        <w:autoSpaceDE/>
        <w:autoSpaceDN/>
        <w:bidi w:val="0"/>
        <w:adjustRightInd/>
        <w:snapToGrid/>
        <w:spacing w:line="240" w:lineRule="auto"/>
        <w:ind w:firstLine="643" w:firstLineChars="200"/>
        <w:textAlignment w:val="auto"/>
        <w:rPr>
          <w:rFonts w:hint="eastAsia" w:ascii="仿宋_GB2312" w:eastAsia="仿宋_GB2312"/>
          <w:b w:val="0"/>
          <w:bCs w:val="0"/>
          <w:spacing w:val="0"/>
          <w:sz w:val="32"/>
          <w:szCs w:val="32"/>
          <w:highlight w:val="none"/>
          <w:lang w:eastAsia="zh-CN"/>
        </w:rPr>
      </w:pPr>
      <w:r>
        <w:rPr>
          <w:rFonts w:hint="eastAsia" w:ascii="仿宋_GB2312" w:eastAsia="仿宋_GB2312"/>
          <w:b/>
          <w:bCs/>
          <w:spacing w:val="0"/>
          <w:sz w:val="32"/>
          <w:szCs w:val="32"/>
          <w:highlight w:val="none"/>
          <w:lang w:eastAsia="zh-CN"/>
        </w:rPr>
        <w:t>2024年度财政拨款收入总计2,544.65万元，</w:t>
      </w:r>
      <w:r>
        <w:rPr>
          <w:rFonts w:hint="eastAsia" w:ascii="仿宋_GB2312" w:eastAsia="仿宋_GB2312"/>
          <w:b w:val="0"/>
          <w:bCs w:val="0"/>
          <w:spacing w:val="0"/>
          <w:sz w:val="32"/>
          <w:szCs w:val="32"/>
          <w:highlight w:val="none"/>
          <w:lang w:eastAsia="zh-CN"/>
        </w:rPr>
        <w:t>其中：年初财政拨款结转和结余0.00万元，本年财政拨款收入2,544.65万元。</w:t>
      </w:r>
      <w:r>
        <w:rPr>
          <w:rFonts w:hint="eastAsia" w:ascii="仿宋_GB2312" w:eastAsia="仿宋_GB2312"/>
          <w:b/>
          <w:bCs/>
          <w:spacing w:val="0"/>
          <w:sz w:val="32"/>
          <w:szCs w:val="32"/>
          <w:highlight w:val="none"/>
          <w:lang w:eastAsia="zh-CN"/>
        </w:rPr>
        <w:t>财政拨款支出总计2,544.65万元，</w:t>
      </w:r>
      <w:r>
        <w:rPr>
          <w:rFonts w:hint="eastAsia" w:ascii="仿宋_GB2312" w:eastAsia="仿宋_GB2312"/>
          <w:b w:val="0"/>
          <w:bCs w:val="0"/>
          <w:spacing w:val="0"/>
          <w:sz w:val="32"/>
          <w:szCs w:val="32"/>
          <w:highlight w:val="none"/>
          <w:lang w:eastAsia="zh-CN"/>
        </w:rPr>
        <w:t>其中：年末财政拨款结转和结余0.00万元，本年财政拨款支出2,544.65万元。</w:t>
      </w:r>
    </w:p>
    <w:p w14:paraId="1E87FE1F">
      <w:pPr>
        <w:keepNext w:val="0"/>
        <w:keepLines w:val="0"/>
        <w:pageBreakBefore w:val="0"/>
        <w:widowControl w:val="0"/>
        <w:kinsoku/>
        <w:wordWrap/>
        <w:overflowPunct/>
        <w:topLinePunct w:val="0"/>
        <w:autoSpaceDE/>
        <w:autoSpaceDN/>
        <w:bidi w:val="0"/>
        <w:adjustRightInd/>
        <w:snapToGrid/>
        <w:spacing w:line="240" w:lineRule="auto"/>
        <w:ind w:firstLine="643" w:firstLineChars="200"/>
        <w:textAlignment w:val="auto"/>
        <w:rPr>
          <w:rFonts w:hint="eastAsia" w:ascii="仿宋_GB2312" w:eastAsia="仿宋_GB2312"/>
          <w:sz w:val="32"/>
          <w:szCs w:val="32"/>
          <w:highlight w:val="none"/>
        </w:rPr>
      </w:pPr>
      <w:r>
        <w:rPr>
          <w:rFonts w:hint="eastAsia" w:ascii="仿宋_GB2312" w:eastAsia="仿宋_GB2312"/>
          <w:b/>
          <w:bCs/>
          <w:spacing w:val="0"/>
          <w:sz w:val="32"/>
          <w:szCs w:val="32"/>
          <w:highlight w:val="none"/>
          <w:lang w:eastAsia="zh-CN"/>
        </w:rPr>
        <w:t>财政拨款收入支出总体与上年相比，</w:t>
      </w:r>
      <w:r>
        <w:rPr>
          <w:rFonts w:hint="eastAsia" w:ascii="仿宋_GB2312" w:eastAsia="仿宋_GB2312"/>
          <w:b w:val="0"/>
          <w:bCs w:val="0"/>
          <w:spacing w:val="0"/>
          <w:sz w:val="32"/>
          <w:szCs w:val="32"/>
          <w:highlight w:val="none"/>
          <w:lang w:eastAsia="zh-CN"/>
        </w:rPr>
        <w:t>减少272.85万元，下降9.68%，主要原因是：本年减少古尔邦节项目经费、文艺扶持激励项目、创作扶持经费、旅游发展专项经费等。</w:t>
      </w:r>
      <w:r>
        <w:rPr>
          <w:rFonts w:hint="eastAsia" w:ascii="仿宋_GB2312" w:eastAsia="仿宋_GB2312"/>
          <w:b/>
          <w:bCs/>
          <w:spacing w:val="0"/>
          <w:sz w:val="32"/>
          <w:szCs w:val="32"/>
          <w:highlight w:val="none"/>
          <w:lang w:eastAsia="zh-CN"/>
        </w:rPr>
        <w:t>与年初预算相比，</w:t>
      </w:r>
      <w:r>
        <w:rPr>
          <w:rFonts w:hint="eastAsia" w:ascii="仿宋_GB2312" w:eastAsia="仿宋_GB2312"/>
          <w:b w:val="0"/>
          <w:bCs w:val="0"/>
          <w:spacing w:val="0"/>
          <w:sz w:val="32"/>
          <w:szCs w:val="32"/>
          <w:highlight w:val="none"/>
          <w:lang w:eastAsia="zh-CN"/>
        </w:rPr>
        <w:t>年初预算数2,056.78万元，决算数2,544.65万元，预决算差异率23.72%，主要原因是：上年结转国家艺术基金，以及本年收到的演出存在结转结余资金未纳入预算，导致产生差异</w:t>
      </w:r>
      <w:r>
        <w:rPr>
          <w:rFonts w:hint="eastAsia" w:ascii="仿宋_GB2312" w:eastAsia="仿宋_GB2312"/>
          <w:sz w:val="32"/>
          <w:szCs w:val="32"/>
          <w:highlight w:val="none"/>
        </w:rPr>
        <w:t>。</w:t>
      </w:r>
    </w:p>
    <w:p w14:paraId="2EB8F9E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16" w:name="_Toc13833"/>
      <w:bookmarkStart w:id="17" w:name="_Toc9174"/>
      <w:r>
        <w:rPr>
          <w:rFonts w:hint="eastAsia" w:ascii="黑体" w:hAnsi="黑体" w:eastAsia="黑体" w:cs="宋体"/>
          <w:bCs/>
          <w:kern w:val="0"/>
          <w:sz w:val="32"/>
          <w:szCs w:val="32"/>
          <w:highlight w:val="none"/>
          <w:lang w:eastAsia="zh-CN"/>
        </w:rPr>
        <w:t>五、一般公共预算财政拨款支出决算情况说明</w:t>
      </w:r>
      <w:bookmarkEnd w:id="16"/>
      <w:bookmarkEnd w:id="17"/>
    </w:p>
    <w:p w14:paraId="3A193901">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sz w:val="32"/>
          <w:szCs w:val="32"/>
          <w:highlight w:val="none"/>
          <w:lang w:eastAsia="zh-CN"/>
        </w:rPr>
      </w:pPr>
      <w:bookmarkStart w:id="18" w:name="_Toc23792"/>
      <w:r>
        <w:rPr>
          <w:rFonts w:hint="eastAsia" w:ascii="黑体" w:hAnsi="黑体" w:eastAsia="黑体"/>
          <w:sz w:val="32"/>
          <w:szCs w:val="32"/>
          <w:highlight w:val="none"/>
          <w:lang w:eastAsia="zh-CN"/>
        </w:rPr>
        <w:t>（一）一般公共预算财政拨款支出决算总体情况</w:t>
      </w:r>
      <w:bookmarkEnd w:id="18"/>
    </w:p>
    <w:p w14:paraId="18547BDA">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仿宋_GB2312" w:eastAsia="仿宋_GB2312"/>
          <w:b w:val="0"/>
          <w:bCs w:val="0"/>
          <w:spacing w:val="0"/>
          <w:sz w:val="32"/>
          <w:szCs w:val="32"/>
          <w:highlight w:val="none"/>
        </w:rPr>
      </w:pPr>
      <w:r>
        <w:rPr>
          <w:rFonts w:hint="eastAsia" w:ascii="仿宋_GB2312" w:eastAsia="仿宋_GB2312"/>
          <w:b/>
          <w:bCs/>
          <w:spacing w:val="0"/>
          <w:sz w:val="32"/>
          <w:szCs w:val="32"/>
          <w:highlight w:val="none"/>
          <w:lang w:eastAsia="zh-CN"/>
        </w:rPr>
        <w:t>2024年度一般公共预算财政拨款支出2,544.65万元，</w:t>
      </w:r>
      <w:r>
        <w:rPr>
          <w:rFonts w:hint="eastAsia" w:ascii="仿宋_GB2312" w:eastAsia="仿宋_GB2312"/>
          <w:b w:val="0"/>
          <w:bCs w:val="0"/>
          <w:spacing w:val="0"/>
          <w:sz w:val="32"/>
          <w:szCs w:val="32"/>
          <w:highlight w:val="none"/>
          <w:lang w:eastAsia="zh-CN"/>
        </w:rPr>
        <w:t>占本年支出合计的75.09%。</w:t>
      </w:r>
      <w:r>
        <w:rPr>
          <w:rFonts w:hint="eastAsia" w:ascii="仿宋_GB2312" w:eastAsia="仿宋_GB2312"/>
          <w:b/>
          <w:bCs/>
          <w:spacing w:val="0"/>
          <w:sz w:val="32"/>
          <w:szCs w:val="32"/>
          <w:highlight w:val="none"/>
          <w:lang w:eastAsia="zh-CN"/>
        </w:rPr>
        <w:t>与上年相比，</w:t>
      </w:r>
      <w:r>
        <w:rPr>
          <w:rFonts w:hint="eastAsia" w:ascii="仿宋_GB2312" w:eastAsia="仿宋_GB2312"/>
          <w:b w:val="0"/>
          <w:bCs w:val="0"/>
          <w:spacing w:val="0"/>
          <w:sz w:val="32"/>
          <w:szCs w:val="32"/>
          <w:highlight w:val="none"/>
          <w:lang w:eastAsia="zh-CN"/>
        </w:rPr>
        <w:t>减少272.85万元，下降9.68%，主要原因是：本年减少古尔邦节项目经费、文艺扶持激励项目、创作扶持经费、旅游发展专项经费等。</w:t>
      </w:r>
      <w:r>
        <w:rPr>
          <w:rFonts w:hint="eastAsia" w:ascii="仿宋_GB2312" w:eastAsia="仿宋_GB2312"/>
          <w:b/>
          <w:bCs/>
          <w:spacing w:val="0"/>
          <w:sz w:val="32"/>
          <w:szCs w:val="32"/>
          <w:highlight w:val="none"/>
          <w:lang w:eastAsia="zh-CN"/>
        </w:rPr>
        <w:t>与年初预算相比，</w:t>
      </w:r>
      <w:r>
        <w:rPr>
          <w:rFonts w:hint="eastAsia" w:ascii="仿宋_GB2312" w:eastAsia="仿宋_GB2312"/>
          <w:b w:val="0"/>
          <w:bCs w:val="0"/>
          <w:spacing w:val="0"/>
          <w:sz w:val="32"/>
          <w:szCs w:val="32"/>
          <w:highlight w:val="none"/>
          <w:lang w:eastAsia="zh-CN"/>
        </w:rPr>
        <w:t>年初预算数2,056.78万元，决算数2,544.65万元，预决算差异率23.72%，主要原因是：上年结转国家艺术基金，以及本年收到的演出存在结转结余资金未纳入预算，导致产生差异</w:t>
      </w:r>
      <w:r>
        <w:rPr>
          <w:rFonts w:hint="eastAsia" w:ascii="仿宋_GB2312" w:eastAsia="仿宋_GB2312"/>
          <w:b w:val="0"/>
          <w:bCs w:val="0"/>
          <w:sz w:val="32"/>
          <w:szCs w:val="32"/>
          <w:highlight w:val="none"/>
        </w:rPr>
        <w:t>。</w:t>
      </w:r>
    </w:p>
    <w:p w14:paraId="6C727B92">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sz w:val="32"/>
          <w:szCs w:val="32"/>
          <w:highlight w:val="none"/>
          <w:lang w:eastAsia="zh-CN"/>
        </w:rPr>
      </w:pPr>
      <w:bookmarkStart w:id="19" w:name="_Toc10960"/>
      <w:r>
        <w:rPr>
          <w:rFonts w:hint="eastAsia" w:ascii="黑体" w:hAnsi="黑体" w:eastAsia="黑体"/>
          <w:sz w:val="32"/>
          <w:szCs w:val="32"/>
          <w:highlight w:val="none"/>
          <w:lang w:eastAsia="zh-CN"/>
        </w:rPr>
        <w:t>（二）一般公共预算</w:t>
      </w:r>
      <w:r>
        <w:rPr>
          <w:rFonts w:hint="eastAsia" w:ascii="黑体" w:hAnsi="黑体" w:eastAsia="黑体"/>
          <w:sz w:val="32"/>
          <w:szCs w:val="32"/>
          <w:highlight w:val="none"/>
          <w:lang w:val="en-US" w:eastAsia="zh-CN"/>
        </w:rPr>
        <w:t>财政拨款支出决算</w:t>
      </w:r>
      <w:r>
        <w:rPr>
          <w:rFonts w:hint="eastAsia" w:ascii="黑体" w:hAnsi="黑体" w:eastAsia="黑体"/>
          <w:sz w:val="32"/>
          <w:szCs w:val="32"/>
          <w:highlight w:val="none"/>
          <w:lang w:eastAsia="zh-CN"/>
        </w:rPr>
        <w:t>结构情况</w:t>
      </w:r>
      <w:bookmarkEnd w:id="19"/>
    </w:p>
    <w:p w14:paraId="31C8910A">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sz w:val="32"/>
          <w:szCs w:val="32"/>
          <w:highlight w:val="none"/>
        </w:rPr>
        <w:t>1.文化旅游体育与传媒支出（类）2,544.65万元，占100.00%</w:t>
      </w:r>
      <w:r>
        <w:rPr>
          <w:rFonts w:hint="eastAsia" w:ascii="仿宋_GB2312" w:hAnsi="仿宋_GB2312" w:eastAsia="仿宋_GB2312" w:cs="仿宋_GB2312"/>
          <w:kern w:val="0"/>
          <w:sz w:val="32"/>
          <w:szCs w:val="32"/>
          <w:highlight w:val="none"/>
        </w:rPr>
        <w:t>。</w:t>
      </w:r>
    </w:p>
    <w:p w14:paraId="1EB420CC">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sz w:val="32"/>
          <w:szCs w:val="32"/>
          <w:highlight w:val="none"/>
          <w:lang w:eastAsia="zh-CN"/>
        </w:rPr>
      </w:pPr>
      <w:bookmarkStart w:id="20" w:name="_Toc4124"/>
      <w:r>
        <w:rPr>
          <w:rFonts w:hint="eastAsia" w:ascii="黑体" w:hAnsi="黑体" w:eastAsia="黑体"/>
          <w:sz w:val="32"/>
          <w:szCs w:val="32"/>
          <w:highlight w:val="none"/>
          <w:lang w:eastAsia="zh-CN"/>
        </w:rPr>
        <w:t>（三）一般公共预算财政拨款支出决算具体情况</w:t>
      </w:r>
      <w:bookmarkEnd w:id="20"/>
    </w:p>
    <w:p w14:paraId="2B2FA4DF">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文化旅游体育与传媒支出（类）文化和旅游（款）艺术表演团体（项）：支出决算数为2,190.65万元，比上年决算减少243.68万元，下降10.01%，主要原因是：本年减少古尔邦节项目经费、文艺扶持激励项目、创作扶持经费、旅游发展专项经费等。</w:t>
      </w:r>
    </w:p>
    <w:p w14:paraId="79CF6621">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文化旅游体育与传媒支出（类）文化和旅游（款）文化创作与保护（项）：支出决算数为160.00万元，比上年决算减少120.00万元，下降42.86%，主要原因是：本年减少古尔邦节项目经费、文艺扶持激励项目、创作扶持经费、旅游发展专项经费等。</w:t>
      </w:r>
    </w:p>
    <w:p w14:paraId="797822EE">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3.文化旅游体育与传媒支出（类）文化和旅游（款）旅游宣传（项）：支出决算数为80.00万元，比上年决算增加80.00万元，增长100.00%，主要原因是：本年新增自治区旅游发展专项资金80.00万元。</w:t>
      </w:r>
    </w:p>
    <w:p w14:paraId="1070D27E">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4.文化旅游体育与传媒支出（类）文化和旅游（款）其他文化和旅游支出（项）：支出决算数为114.00万元，比上年决算增加11.00万元，增长10.68%，主要原因是：文化人才专项经费较上年增加。</w:t>
      </w:r>
    </w:p>
    <w:p w14:paraId="6AC02CB5">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rPr>
        <w:t>社会保障和就业支出（类）行政事业单位养老支出（款）事业单位离退休（项）：支出决算数为0.00万元，比上年决算减少0.17万元，下降100.00%，主要原因是：本年无此类项支出</w:t>
      </w:r>
      <w:r>
        <w:rPr>
          <w:rFonts w:hint="eastAsia" w:ascii="仿宋_GB2312" w:hAnsi="仿宋_GB2312" w:eastAsia="仿宋_GB2312" w:cs="仿宋_GB2312"/>
          <w:sz w:val="32"/>
          <w:szCs w:val="32"/>
          <w:highlight w:val="none"/>
          <w:lang w:eastAsia="zh-CN"/>
        </w:rPr>
        <w:t>。</w:t>
      </w:r>
    </w:p>
    <w:p w14:paraId="0883E85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21" w:name="_Toc11146"/>
      <w:bookmarkStart w:id="22" w:name="_Toc1058"/>
      <w:r>
        <w:rPr>
          <w:rFonts w:hint="eastAsia" w:ascii="黑体" w:hAnsi="黑体" w:eastAsia="黑体" w:cs="宋体"/>
          <w:bCs/>
          <w:kern w:val="0"/>
          <w:sz w:val="32"/>
          <w:szCs w:val="32"/>
          <w:highlight w:val="none"/>
          <w:lang w:eastAsia="zh-CN"/>
        </w:rPr>
        <w:t>六、一般公共预算财政拨款基本支出决算情况说明</w:t>
      </w:r>
      <w:bookmarkEnd w:id="21"/>
      <w:bookmarkEnd w:id="22"/>
    </w:p>
    <w:p w14:paraId="5681605D">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0" w:firstLineChars="200"/>
        <w:jc w:val="both"/>
        <w:textAlignment w:val="auto"/>
        <w:rPr>
          <w:rFonts w:hint="eastAsia" w:ascii="仿宋_GB2312" w:eastAsia="仿宋_GB2312" w:hAnsiTheme="minorHAnsi" w:cstheme="minorBidi"/>
          <w:b w:val="0"/>
          <w:kern w:val="0"/>
          <w:sz w:val="32"/>
          <w:szCs w:val="32"/>
          <w:lang w:eastAsia="en-US"/>
        </w:rPr>
      </w:pPr>
      <w:r>
        <w:rPr>
          <w:rFonts w:hint="eastAsia" w:ascii="仿宋_GB2312" w:eastAsia="仿宋_GB2312" w:hAnsiTheme="minorHAnsi" w:cstheme="minorBidi"/>
          <w:b w:val="0"/>
          <w:kern w:val="0"/>
          <w:sz w:val="32"/>
          <w:szCs w:val="32"/>
          <w:lang w:eastAsia="en-US"/>
        </w:rPr>
        <w:t>2024年度一般公共预算财政拨款基本支出1,794.60万元，其中</w:t>
      </w:r>
      <w:r>
        <w:rPr>
          <w:rFonts w:hint="eastAsia" w:ascii="仿宋_GB2312" w:eastAsia="仿宋_GB2312" w:hAnsiTheme="minorHAnsi" w:cstheme="minorBidi"/>
          <w:b/>
          <w:bCs/>
          <w:kern w:val="0"/>
          <w:sz w:val="32"/>
          <w:szCs w:val="32"/>
          <w:lang w:eastAsia="en-US"/>
        </w:rPr>
        <w:t>：人员经费1,663.38万元，</w:t>
      </w:r>
      <w:r>
        <w:rPr>
          <w:rFonts w:hint="eastAsia" w:ascii="仿宋_GB2312" w:eastAsia="仿宋_GB2312" w:hAnsiTheme="minorHAnsi" w:cstheme="minorBidi"/>
          <w:b w:val="0"/>
          <w:kern w:val="0"/>
          <w:sz w:val="32"/>
          <w:szCs w:val="32"/>
          <w:lang w:eastAsia="en-US"/>
        </w:rPr>
        <w:t>包括：基本工资、津贴补贴、奖金、绩效工资、机关事业单位基本养老保险缴费、职业年金缴费、职工基本医疗保险缴费、公务员医疗补助缴费、其他社会保障缴费、住房公积金、离休费、退休费、抚恤金和其他对个人和家庭的补助。</w:t>
      </w:r>
    </w:p>
    <w:p w14:paraId="53662981">
      <w:pPr>
        <w:keepNext w:val="0"/>
        <w:keepLines w:val="0"/>
        <w:pageBreakBefore w:val="0"/>
        <w:widowControl/>
        <w:kinsoku/>
        <w:wordWrap/>
        <w:overflowPunct/>
        <w:topLinePunct w:val="0"/>
        <w:autoSpaceDE/>
        <w:autoSpaceDN/>
        <w:bidi w:val="0"/>
        <w:adjustRightInd/>
        <w:snapToGrid/>
        <w:spacing w:before="0" w:beforeLines="0" w:beforeAutospacing="0" w:after="0" w:afterLines="0" w:afterAutospacing="0" w:line="560" w:lineRule="exact"/>
        <w:ind w:firstLine="643" w:firstLineChars="200"/>
        <w:jc w:val="both"/>
        <w:textAlignment w:val="auto"/>
        <w:rPr>
          <w:rFonts w:hint="eastAsia" w:ascii="仿宋_GB2312" w:eastAsia="仿宋_GB2312" w:hAnsiTheme="minorHAnsi" w:cstheme="minorBidi"/>
          <w:b w:val="0"/>
          <w:kern w:val="0"/>
          <w:sz w:val="32"/>
          <w:szCs w:val="32"/>
          <w:lang w:eastAsia="en-US"/>
        </w:rPr>
      </w:pPr>
      <w:r>
        <w:rPr>
          <w:rFonts w:hint="eastAsia" w:ascii="仿宋_GB2312" w:eastAsia="仿宋_GB2312" w:hAnsiTheme="minorHAnsi" w:cstheme="minorBidi"/>
          <w:b/>
          <w:bCs/>
          <w:kern w:val="0"/>
          <w:sz w:val="32"/>
          <w:szCs w:val="32"/>
          <w:lang w:eastAsia="en-US"/>
        </w:rPr>
        <w:t>公用经费131.23万元，</w:t>
      </w:r>
      <w:r>
        <w:rPr>
          <w:rFonts w:hint="eastAsia" w:ascii="仿宋_GB2312" w:eastAsia="仿宋_GB2312" w:hAnsiTheme="minorHAnsi" w:cstheme="minorBidi"/>
          <w:b w:val="0"/>
          <w:kern w:val="0"/>
          <w:sz w:val="32"/>
          <w:szCs w:val="32"/>
          <w:lang w:eastAsia="en-US"/>
        </w:rPr>
        <w:t>包括：办公费、邮电费、差旅费、委托业务费、工会经费、福利费、其他交通费用和其他商品和服务支出</w:t>
      </w:r>
      <w:r>
        <w:rPr>
          <w:rFonts w:hint="eastAsia" w:ascii="仿宋_GB2312" w:eastAsia="仿宋_GB2312" w:hAnsiTheme="minorHAnsi" w:cstheme="minorBidi"/>
          <w:b w:val="0"/>
          <w:kern w:val="0"/>
          <w:sz w:val="32"/>
          <w:szCs w:val="32"/>
          <w:lang w:eastAsia="zh-CN"/>
        </w:rPr>
        <w:t>。</w:t>
      </w:r>
    </w:p>
    <w:p w14:paraId="18CFAB9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23" w:name="_Toc19007"/>
      <w:bookmarkStart w:id="24" w:name="_Toc7927"/>
      <w:r>
        <w:rPr>
          <w:rFonts w:hint="eastAsia" w:ascii="黑体" w:hAnsi="黑体" w:eastAsia="黑体" w:cs="宋体"/>
          <w:bCs/>
          <w:kern w:val="0"/>
          <w:sz w:val="32"/>
          <w:szCs w:val="32"/>
          <w:highlight w:val="none"/>
          <w:lang w:val="en-US" w:eastAsia="zh-CN"/>
        </w:rPr>
        <w:t>七、</w:t>
      </w:r>
      <w:r>
        <w:rPr>
          <w:rFonts w:hint="eastAsia" w:ascii="黑体" w:hAnsi="黑体" w:eastAsia="黑体" w:cs="宋体"/>
          <w:bCs/>
          <w:kern w:val="0"/>
          <w:sz w:val="32"/>
          <w:szCs w:val="32"/>
          <w:highlight w:val="none"/>
          <w:lang w:eastAsia="zh-CN"/>
        </w:rPr>
        <w:t>政府性基金预算财政拨款收入支出决算情况说明</w:t>
      </w:r>
      <w:bookmarkEnd w:id="23"/>
      <w:bookmarkEnd w:id="24"/>
    </w:p>
    <w:p w14:paraId="43AE5397">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eastAsia="仿宋_GB2312"/>
          <w:sz w:val="32"/>
          <w:szCs w:val="32"/>
          <w:highlight w:val="none"/>
          <w:lang w:eastAsia="zh-CN"/>
        </w:rPr>
      </w:pPr>
      <w:r>
        <w:rPr>
          <w:rFonts w:hint="eastAsia" w:ascii="仿宋_GB2312" w:eastAsia="仿宋_GB2312"/>
          <w:b w:val="0"/>
          <w:bCs w:val="0"/>
          <w:sz w:val="32"/>
          <w:szCs w:val="32"/>
          <w:highlight w:val="none"/>
          <w:lang w:eastAsia="zh-CN"/>
        </w:rPr>
        <w:t>本单位本年度无政府性基金预算财政拨款收入、支出及结转和结余，政府性基金预算财政拨款收入支出决算表为空表</w:t>
      </w:r>
      <w:r>
        <w:rPr>
          <w:rFonts w:hint="eastAsia" w:ascii="仿宋_GB2312" w:hAnsi="仿宋_GB2312" w:eastAsia="仿宋_GB2312" w:cs="仿宋_GB2312"/>
          <w:b w:val="0"/>
          <w:bCs w:val="0"/>
          <w:kern w:val="0"/>
          <w:sz w:val="32"/>
          <w:szCs w:val="32"/>
          <w:highlight w:val="none"/>
          <w:lang w:eastAsia="zh-CN"/>
        </w:rPr>
        <w:t>。</w:t>
      </w:r>
    </w:p>
    <w:p w14:paraId="72D4219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25" w:name="_Toc10121"/>
      <w:r>
        <w:rPr>
          <w:rFonts w:hint="eastAsia" w:ascii="黑体" w:hAnsi="黑体" w:eastAsia="黑体" w:cs="宋体"/>
          <w:bCs/>
          <w:kern w:val="0"/>
          <w:sz w:val="32"/>
          <w:szCs w:val="32"/>
          <w:highlight w:val="none"/>
          <w:lang w:val="en-US" w:eastAsia="zh-CN"/>
        </w:rPr>
        <w:t>八</w:t>
      </w:r>
      <w:r>
        <w:rPr>
          <w:rFonts w:hint="eastAsia" w:ascii="黑体" w:hAnsi="黑体" w:eastAsia="黑体" w:cs="宋体"/>
          <w:bCs/>
          <w:kern w:val="0"/>
          <w:sz w:val="32"/>
          <w:szCs w:val="32"/>
          <w:highlight w:val="none"/>
          <w:lang w:eastAsia="zh-CN"/>
        </w:rPr>
        <w:t>、国有资本经营预算财政拨款收入支出决算情况说明</w:t>
      </w:r>
      <w:bookmarkEnd w:id="25"/>
    </w:p>
    <w:p w14:paraId="1123A209">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hAnsi="仿宋_GB2312" w:eastAsia="仿宋_GB2312" w:cs="仿宋_GB2312"/>
          <w:b w:val="0"/>
          <w:bCs w:val="0"/>
          <w:kern w:val="0"/>
          <w:sz w:val="32"/>
          <w:szCs w:val="32"/>
          <w:highlight w:val="none"/>
          <w:lang w:eastAsia="zh-CN"/>
        </w:rPr>
      </w:pPr>
      <w:r>
        <w:rPr>
          <w:rFonts w:hint="eastAsia" w:ascii="仿宋_GB2312" w:eastAsia="仿宋_GB2312"/>
          <w:b w:val="0"/>
          <w:bCs w:val="0"/>
          <w:sz w:val="32"/>
          <w:szCs w:val="32"/>
          <w:highlight w:val="none"/>
          <w:lang w:eastAsia="zh-CN"/>
        </w:rPr>
        <w:t>本单位本年度无国有资本经营预算财政拨款收入、支出及结转和结余，国有资本经营预算财政拨款收入支出决算表为空表</w:t>
      </w:r>
      <w:bookmarkStart w:id="26" w:name="_Toc7190"/>
      <w:r>
        <w:rPr>
          <w:rFonts w:hint="eastAsia" w:ascii="仿宋_GB2312" w:hAnsi="仿宋_GB2312" w:eastAsia="仿宋_GB2312" w:cs="仿宋_GB2312"/>
          <w:b w:val="0"/>
          <w:bCs w:val="0"/>
          <w:kern w:val="0"/>
          <w:sz w:val="32"/>
          <w:szCs w:val="32"/>
          <w:highlight w:val="none"/>
          <w:lang w:eastAsia="zh-CN"/>
        </w:rPr>
        <w:t>。</w:t>
      </w:r>
    </w:p>
    <w:p w14:paraId="44F2B60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27" w:name="_Toc32313"/>
      <w:r>
        <w:rPr>
          <w:rFonts w:hint="eastAsia" w:ascii="黑体" w:hAnsi="黑体" w:eastAsia="黑体" w:cs="宋体"/>
          <w:bCs/>
          <w:kern w:val="0"/>
          <w:sz w:val="32"/>
          <w:szCs w:val="32"/>
          <w:highlight w:val="none"/>
          <w:lang w:val="en-US" w:eastAsia="zh-CN"/>
        </w:rPr>
        <w:t>九</w:t>
      </w:r>
      <w:r>
        <w:rPr>
          <w:rFonts w:hint="eastAsia" w:ascii="黑体" w:hAnsi="黑体" w:eastAsia="黑体" w:cs="宋体"/>
          <w:bCs/>
          <w:kern w:val="0"/>
          <w:sz w:val="32"/>
          <w:szCs w:val="32"/>
          <w:highlight w:val="none"/>
          <w:lang w:eastAsia="zh-CN"/>
        </w:rPr>
        <w:t>、财政拨款</w:t>
      </w:r>
      <w:r>
        <w:rPr>
          <w:rFonts w:hint="eastAsia" w:ascii="黑体" w:hAnsi="黑体" w:eastAsia="黑体" w:cs="宋体"/>
          <w:bCs/>
          <w:kern w:val="0"/>
          <w:sz w:val="32"/>
          <w:szCs w:val="32"/>
          <w:highlight w:val="none"/>
        </w:rPr>
        <w:t>“三公”经费支出</w:t>
      </w:r>
      <w:r>
        <w:rPr>
          <w:rFonts w:hint="eastAsia" w:ascii="黑体" w:hAnsi="黑体" w:eastAsia="黑体" w:cs="宋体"/>
          <w:bCs/>
          <w:kern w:val="0"/>
          <w:sz w:val="32"/>
          <w:szCs w:val="32"/>
          <w:highlight w:val="none"/>
          <w:lang w:eastAsia="zh-CN"/>
        </w:rPr>
        <w:t>决算</w:t>
      </w:r>
      <w:r>
        <w:rPr>
          <w:rFonts w:hint="eastAsia" w:ascii="黑体" w:hAnsi="黑体" w:eastAsia="黑体" w:cs="宋体"/>
          <w:bCs/>
          <w:kern w:val="0"/>
          <w:sz w:val="32"/>
          <w:szCs w:val="32"/>
          <w:highlight w:val="none"/>
        </w:rPr>
        <w:t>情况</w:t>
      </w:r>
      <w:r>
        <w:rPr>
          <w:rFonts w:hint="eastAsia" w:ascii="黑体" w:hAnsi="黑体" w:eastAsia="黑体" w:cs="宋体"/>
          <w:bCs/>
          <w:kern w:val="0"/>
          <w:sz w:val="32"/>
          <w:szCs w:val="32"/>
          <w:highlight w:val="none"/>
          <w:lang w:eastAsia="zh-CN"/>
        </w:rPr>
        <w:t>说明</w:t>
      </w:r>
      <w:bookmarkEnd w:id="26"/>
      <w:bookmarkEnd w:id="27"/>
    </w:p>
    <w:p w14:paraId="4EBB9C51">
      <w:pPr>
        <w:keepNext w:val="0"/>
        <w:keepLines w:val="0"/>
        <w:pageBreakBefore w:val="0"/>
        <w:widowControl w:val="0"/>
        <w:kinsoku/>
        <w:wordWrap/>
        <w:overflowPunct/>
        <w:topLinePunct w:val="0"/>
        <w:autoSpaceDE/>
        <w:autoSpaceDN/>
        <w:bidi w:val="0"/>
        <w:adjustRightInd/>
        <w:snapToGrid/>
        <w:spacing w:after="0" w:line="560" w:lineRule="exact"/>
        <w:ind w:firstLine="643" w:firstLineChars="200"/>
        <w:jc w:val="both"/>
        <w:textAlignment w:val="auto"/>
        <w:rPr>
          <w:rFonts w:hint="eastAsia" w:ascii="仿宋_GB2312" w:hAnsi="Times New Roman" w:eastAsia="仿宋_GB2312" w:cs="Times New Roman"/>
          <w:kern w:val="2"/>
          <w:sz w:val="32"/>
          <w:szCs w:val="32"/>
          <w:highlight w:val="none"/>
          <w:lang w:eastAsia="zh-CN"/>
        </w:rPr>
      </w:pPr>
      <w:r>
        <w:rPr>
          <w:rFonts w:hint="eastAsia" w:ascii="仿宋_GB2312" w:eastAsia="仿宋_GB2312"/>
          <w:b/>
          <w:bCs/>
          <w:spacing w:val="0"/>
          <w:sz w:val="32"/>
          <w:szCs w:val="32"/>
          <w:highlight w:val="none"/>
          <w:lang w:eastAsia="zh-CN"/>
        </w:rPr>
        <w:t>2024年度财政拨款“三公”经费支出3.56万元，</w:t>
      </w:r>
      <w:r>
        <w:rPr>
          <w:rFonts w:hint="eastAsia" w:ascii="仿宋_GB2312" w:eastAsia="仿宋_GB2312"/>
          <w:b w:val="0"/>
          <w:bCs w:val="0"/>
          <w:spacing w:val="0"/>
          <w:sz w:val="32"/>
          <w:szCs w:val="32"/>
          <w:highlight w:val="none"/>
          <w:lang w:eastAsia="zh-CN"/>
        </w:rPr>
        <w:t>比上年增加0.00万元，增长0.00%，主要原因是：</w:t>
      </w:r>
      <w:r>
        <w:rPr>
          <w:rFonts w:hint="eastAsia" w:ascii="仿宋_GB2312" w:hAnsi="Times New Roman" w:eastAsia="仿宋_GB2312" w:cs="Times New Roman"/>
          <w:kern w:val="2"/>
          <w:sz w:val="32"/>
          <w:szCs w:val="32"/>
          <w:highlight w:val="none"/>
          <w:lang w:val="en-US" w:eastAsia="zh-CN"/>
        </w:rPr>
        <w:t>我单位</w:t>
      </w:r>
      <w:r>
        <w:rPr>
          <w:rFonts w:hint="eastAsia" w:ascii="仿宋_GB2312" w:hAnsi="Times New Roman" w:eastAsia="仿宋_GB2312" w:cs="Times New Roman"/>
          <w:kern w:val="2"/>
          <w:sz w:val="32"/>
          <w:szCs w:val="32"/>
          <w:highlight w:val="none"/>
          <w:lang w:eastAsia="zh-CN"/>
        </w:rPr>
        <w:t>公务用车数量未发生增减变化，费用与上年保持不变。</w:t>
      </w:r>
      <w:r>
        <w:rPr>
          <w:rFonts w:hint="eastAsia" w:ascii="仿宋_GB2312" w:eastAsia="仿宋_GB2312"/>
          <w:b w:val="0"/>
          <w:bCs w:val="0"/>
          <w:spacing w:val="0"/>
          <w:sz w:val="32"/>
          <w:szCs w:val="32"/>
          <w:highlight w:val="none"/>
          <w:lang w:eastAsia="zh-CN"/>
        </w:rPr>
        <w:t>其中：因公出国（境）费支出0.00万元,占0.00%，比上年增加0.00万元，增长0.00%，主要原因是：</w:t>
      </w:r>
      <w:r>
        <w:rPr>
          <w:rFonts w:hint="eastAsia" w:ascii="仿宋_GB2312" w:hAnsi="Times New Roman" w:eastAsia="仿宋_GB2312" w:cs="Times New Roman"/>
          <w:kern w:val="2"/>
          <w:sz w:val="32"/>
          <w:szCs w:val="32"/>
          <w:highlight w:val="none"/>
          <w:lang w:eastAsia="zh-CN"/>
        </w:rPr>
        <w:t>2023年与2024年均未安排因公出国（境）</w:t>
      </w:r>
      <w:r>
        <w:rPr>
          <w:rFonts w:hint="eastAsia" w:ascii="仿宋_GB2312" w:eastAsia="仿宋_GB2312" w:cs="Times New Roman"/>
          <w:kern w:val="2"/>
          <w:sz w:val="32"/>
          <w:szCs w:val="32"/>
          <w:highlight w:val="none"/>
          <w:lang w:val="en-US" w:eastAsia="zh-CN"/>
        </w:rPr>
        <w:t>经费支出</w:t>
      </w:r>
      <w:r>
        <w:rPr>
          <w:rFonts w:hint="eastAsia" w:ascii="仿宋_GB2312" w:eastAsia="仿宋_GB2312" w:cs="Times New Roman"/>
          <w:kern w:val="2"/>
          <w:sz w:val="32"/>
          <w:szCs w:val="32"/>
          <w:highlight w:val="none"/>
          <w:lang w:eastAsia="zh-CN"/>
        </w:rPr>
        <w:t>；</w:t>
      </w:r>
      <w:r>
        <w:rPr>
          <w:rFonts w:hint="eastAsia" w:ascii="仿宋_GB2312" w:eastAsia="仿宋_GB2312"/>
          <w:b w:val="0"/>
          <w:bCs w:val="0"/>
          <w:spacing w:val="0"/>
          <w:sz w:val="32"/>
          <w:szCs w:val="32"/>
          <w:highlight w:val="none"/>
          <w:lang w:eastAsia="zh-CN"/>
        </w:rPr>
        <w:t>公务用车购置及运行维护费支出3.56万元，占100.00%，比上年增加0.00万元，增长0.00%，</w:t>
      </w:r>
      <w:r>
        <w:rPr>
          <w:rFonts w:ascii="仿宋_GB2312" w:eastAsia="仿宋_GB2312"/>
          <w:color w:val="auto"/>
          <w:sz w:val="32"/>
          <w:szCs w:val="32"/>
        </w:rPr>
        <w:t>主要原因是：</w:t>
      </w:r>
      <w:r>
        <w:rPr>
          <w:rFonts w:ascii="仿宋_GB2312" w:eastAsia="仿宋_GB2312"/>
          <w:b w:val="0"/>
          <w:color w:val="auto"/>
          <w:sz w:val="32"/>
          <w:szCs w:val="32"/>
        </w:rPr>
        <w:t>严格执行</w:t>
      </w:r>
      <w:r>
        <w:rPr>
          <w:rFonts w:hint="eastAsia" w:ascii="仿宋_GB2312" w:eastAsia="仿宋_GB2312"/>
          <w:b w:val="0"/>
          <w:color w:val="auto"/>
          <w:sz w:val="32"/>
          <w:szCs w:val="32"/>
          <w:lang w:eastAsia="zh-CN"/>
        </w:rPr>
        <w:t>“</w:t>
      </w:r>
      <w:r>
        <w:rPr>
          <w:rFonts w:ascii="仿宋_GB2312" w:eastAsia="仿宋_GB2312"/>
          <w:b w:val="0"/>
          <w:color w:val="auto"/>
          <w:sz w:val="32"/>
          <w:szCs w:val="32"/>
        </w:rPr>
        <w:t>三公</w:t>
      </w:r>
      <w:r>
        <w:rPr>
          <w:rFonts w:hint="eastAsia" w:ascii="仿宋_GB2312" w:eastAsia="仿宋_GB2312"/>
          <w:b w:val="0"/>
          <w:color w:val="auto"/>
          <w:sz w:val="32"/>
          <w:szCs w:val="32"/>
          <w:lang w:eastAsia="zh-CN"/>
        </w:rPr>
        <w:t>”</w:t>
      </w:r>
      <w:r>
        <w:rPr>
          <w:rFonts w:ascii="仿宋_GB2312" w:eastAsia="仿宋_GB2312"/>
          <w:b w:val="0"/>
          <w:color w:val="auto"/>
          <w:sz w:val="32"/>
          <w:szCs w:val="32"/>
        </w:rPr>
        <w:t>经费预算，与上年支出</w:t>
      </w:r>
      <w:r>
        <w:rPr>
          <w:rFonts w:hint="eastAsia" w:ascii="仿宋_GB2312" w:eastAsia="仿宋_GB2312"/>
          <w:b w:val="0"/>
          <w:color w:val="auto"/>
          <w:sz w:val="32"/>
          <w:szCs w:val="32"/>
          <w:lang w:val="en-US" w:eastAsia="zh-CN"/>
        </w:rPr>
        <w:t>一致</w:t>
      </w:r>
      <w:r>
        <w:rPr>
          <w:rFonts w:ascii="仿宋_GB2312" w:eastAsia="仿宋_GB2312"/>
          <w:color w:val="auto"/>
          <w:sz w:val="32"/>
          <w:szCs w:val="32"/>
        </w:rPr>
        <w:t>；</w:t>
      </w:r>
      <w:r>
        <w:rPr>
          <w:rFonts w:hint="eastAsia" w:ascii="仿宋_GB2312" w:eastAsia="仿宋_GB2312"/>
          <w:b w:val="0"/>
          <w:bCs w:val="0"/>
          <w:spacing w:val="0"/>
          <w:sz w:val="32"/>
          <w:szCs w:val="32"/>
          <w:highlight w:val="none"/>
          <w:lang w:eastAsia="zh-CN"/>
        </w:rPr>
        <w:t>公务接待费支出0.00万元，占0.00%，比上年增加0.00万元，增长0.00%，主要原因是：</w:t>
      </w:r>
      <w:r>
        <w:rPr>
          <w:rFonts w:hint="eastAsia" w:ascii="仿宋_GB2312" w:hAnsi="Times New Roman" w:eastAsia="仿宋_GB2312" w:cs="Times New Roman"/>
          <w:kern w:val="2"/>
          <w:sz w:val="32"/>
          <w:szCs w:val="32"/>
          <w:highlight w:val="none"/>
          <w:lang w:eastAsia="zh-CN"/>
        </w:rPr>
        <w:t>2023年与2024年均未安排公务接待费</w:t>
      </w:r>
      <w:r>
        <w:rPr>
          <w:rFonts w:hint="eastAsia" w:ascii="仿宋_GB2312" w:eastAsia="仿宋_GB2312" w:cs="Times New Roman"/>
          <w:kern w:val="2"/>
          <w:sz w:val="32"/>
          <w:szCs w:val="32"/>
          <w:highlight w:val="none"/>
          <w:lang w:eastAsia="zh-CN"/>
        </w:rPr>
        <w:t>支出</w:t>
      </w:r>
      <w:r>
        <w:rPr>
          <w:rFonts w:hint="eastAsia" w:ascii="仿宋_GB2312" w:hAnsi="Times New Roman" w:eastAsia="仿宋_GB2312" w:cs="Times New Roman"/>
          <w:kern w:val="2"/>
          <w:sz w:val="32"/>
          <w:szCs w:val="32"/>
          <w:highlight w:val="none"/>
          <w:lang w:eastAsia="zh-CN"/>
        </w:rPr>
        <w:t>。</w:t>
      </w:r>
    </w:p>
    <w:p w14:paraId="6C72C946">
      <w:pPr>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jc w:val="both"/>
        <w:textAlignment w:val="auto"/>
        <w:rPr>
          <w:rFonts w:hint="eastAsia" w:ascii="仿宋_GB2312" w:eastAsia="仿宋_GB2312"/>
          <w:b/>
          <w:bCs/>
          <w:spacing w:val="0"/>
          <w:sz w:val="32"/>
          <w:szCs w:val="32"/>
          <w:highlight w:val="none"/>
          <w:lang w:eastAsia="zh-CN"/>
        </w:rPr>
      </w:pPr>
      <w:r>
        <w:rPr>
          <w:rFonts w:hint="eastAsia" w:ascii="仿宋_GB2312" w:eastAsia="仿宋_GB2312"/>
          <w:b/>
          <w:bCs/>
          <w:spacing w:val="0"/>
          <w:sz w:val="32"/>
          <w:szCs w:val="32"/>
          <w:highlight w:val="none"/>
          <w:lang w:eastAsia="zh-CN"/>
        </w:rPr>
        <w:t>具体情况如下：</w:t>
      </w:r>
    </w:p>
    <w:p w14:paraId="0B839D95">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eastAsia="仿宋_GB2312"/>
          <w:b w:val="0"/>
          <w:bCs w:val="0"/>
          <w:spacing w:val="0"/>
          <w:sz w:val="32"/>
          <w:szCs w:val="32"/>
          <w:highlight w:val="none"/>
          <w:lang w:eastAsia="zh-CN"/>
        </w:rPr>
      </w:pPr>
      <w:r>
        <w:rPr>
          <w:rFonts w:hint="eastAsia" w:ascii="仿宋_GB2312" w:eastAsia="仿宋_GB2312"/>
          <w:b w:val="0"/>
          <w:bCs w:val="0"/>
          <w:spacing w:val="0"/>
          <w:sz w:val="32"/>
          <w:szCs w:val="32"/>
          <w:highlight w:val="none"/>
          <w:lang w:eastAsia="zh-CN"/>
        </w:rPr>
        <w:t>因公出国（境）费支出0.00万元，开支内容包括：本年度</w:t>
      </w:r>
      <w:r>
        <w:rPr>
          <w:rFonts w:hint="eastAsia" w:ascii="仿宋_GB2312" w:eastAsia="仿宋_GB2312"/>
          <w:b w:val="0"/>
          <w:bCs w:val="0"/>
          <w:spacing w:val="0"/>
          <w:sz w:val="32"/>
          <w:szCs w:val="32"/>
          <w:highlight w:val="none"/>
          <w:lang w:val="en-US" w:eastAsia="zh-CN"/>
        </w:rPr>
        <w:t>未安排</w:t>
      </w:r>
      <w:r>
        <w:rPr>
          <w:rFonts w:hint="eastAsia" w:ascii="仿宋_GB2312" w:eastAsia="仿宋_GB2312"/>
          <w:b w:val="0"/>
          <w:bCs w:val="0"/>
          <w:spacing w:val="0"/>
          <w:sz w:val="32"/>
          <w:szCs w:val="32"/>
          <w:highlight w:val="none"/>
          <w:lang w:eastAsia="zh-CN"/>
        </w:rPr>
        <w:t>因公出国（境）费支出。单位全年安排的因公出国（境）团组0个，因公出国（境）0人次。</w:t>
      </w:r>
    </w:p>
    <w:p w14:paraId="012175AB">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eastAsia="仿宋_GB2312"/>
          <w:b w:val="0"/>
          <w:bCs w:val="0"/>
          <w:spacing w:val="0"/>
          <w:sz w:val="32"/>
          <w:szCs w:val="32"/>
          <w:highlight w:val="none"/>
          <w:lang w:eastAsia="zh-CN"/>
        </w:rPr>
      </w:pPr>
      <w:r>
        <w:rPr>
          <w:rFonts w:hint="eastAsia" w:ascii="仿宋_GB2312" w:eastAsia="仿宋_GB2312"/>
          <w:b w:val="0"/>
          <w:bCs w:val="0"/>
          <w:spacing w:val="0"/>
          <w:sz w:val="32"/>
          <w:szCs w:val="32"/>
          <w:highlight w:val="none"/>
          <w:lang w:eastAsia="zh-CN"/>
        </w:rPr>
        <w:t>公务用车购置及运行维护费3.56万元，其中：公务用车购置费0.00万元，公务用车运行维护费3.56万元。公务用车运行维护费开支内容包括：</w:t>
      </w:r>
      <w:r>
        <w:rPr>
          <w:rFonts w:hint="eastAsia" w:ascii="仿宋_GB2312" w:hAnsi="Times New Roman" w:eastAsia="仿宋_GB2312" w:cs="Times New Roman"/>
          <w:kern w:val="2"/>
          <w:sz w:val="32"/>
          <w:szCs w:val="32"/>
          <w:highlight w:val="none"/>
          <w:lang w:eastAsia="zh-CN"/>
        </w:rPr>
        <w:t>辆维修保养</w:t>
      </w:r>
      <w:r>
        <w:rPr>
          <w:rFonts w:hint="eastAsia" w:ascii="仿宋_GB2312" w:eastAsia="仿宋_GB2312"/>
          <w:b w:val="0"/>
          <w:bCs w:val="0"/>
          <w:spacing w:val="0"/>
          <w:sz w:val="32"/>
          <w:szCs w:val="32"/>
          <w:highlight w:val="none"/>
          <w:lang w:eastAsia="zh-CN"/>
        </w:rPr>
        <w:t>、车辆加油费、车辆保险、车辆检测及停车过路费。公务用车购置数0辆，公务用车保有量7辆。国有资产占用情况中固定资产车辆7辆，与公务用车保有量差异原因是：</w:t>
      </w:r>
      <w:r>
        <w:rPr>
          <w:rFonts w:ascii="仿宋_GB2312" w:eastAsia="仿宋_GB2312"/>
          <w:b w:val="0"/>
          <w:sz w:val="32"/>
          <w:szCs w:val="32"/>
        </w:rPr>
        <w:t>国有资产占用情况中固定资产车辆与公务用车保有量一致</w:t>
      </w:r>
      <w:r>
        <w:rPr>
          <w:rFonts w:hint="eastAsia" w:ascii="仿宋_GB2312" w:eastAsia="仿宋_GB2312"/>
          <w:b w:val="0"/>
          <w:sz w:val="32"/>
          <w:szCs w:val="32"/>
          <w:lang w:eastAsia="zh-CN"/>
        </w:rPr>
        <w:t>，无差异</w:t>
      </w:r>
      <w:r>
        <w:rPr>
          <w:rFonts w:ascii="仿宋_GB2312" w:eastAsia="仿宋_GB2312"/>
          <w:b w:val="0"/>
          <w:sz w:val="32"/>
          <w:szCs w:val="32"/>
        </w:rPr>
        <w:t>。</w:t>
      </w:r>
    </w:p>
    <w:p w14:paraId="24F789AC">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jc w:val="both"/>
        <w:textAlignment w:val="auto"/>
        <w:rPr>
          <w:rFonts w:hint="eastAsia" w:ascii="仿宋_GB2312" w:eastAsia="仿宋_GB2312"/>
          <w:b w:val="0"/>
          <w:bCs w:val="0"/>
          <w:spacing w:val="0"/>
          <w:sz w:val="32"/>
          <w:szCs w:val="32"/>
          <w:highlight w:val="none"/>
          <w:lang w:eastAsia="zh-CN"/>
        </w:rPr>
      </w:pPr>
      <w:r>
        <w:rPr>
          <w:rFonts w:hint="eastAsia" w:ascii="仿宋_GB2312" w:eastAsia="仿宋_GB2312"/>
          <w:b w:val="0"/>
          <w:bCs w:val="0"/>
          <w:spacing w:val="0"/>
          <w:sz w:val="32"/>
          <w:szCs w:val="32"/>
          <w:highlight w:val="none"/>
          <w:lang w:eastAsia="zh-CN"/>
        </w:rPr>
        <w:t>公务接待费0.00万元，开支内容包括：</w:t>
      </w:r>
      <w:r>
        <w:rPr>
          <w:rFonts w:ascii="仿宋_GB2312" w:eastAsia="仿宋_GB2312"/>
          <w:b w:val="0"/>
          <w:sz w:val="32"/>
          <w:szCs w:val="32"/>
          <w:highlight w:val="none"/>
        </w:rPr>
        <w:t>本单位年初未安排公务接待费支出。</w:t>
      </w:r>
      <w:r>
        <w:rPr>
          <w:rFonts w:hint="eastAsia" w:ascii="仿宋_GB2312" w:eastAsia="仿宋_GB2312"/>
          <w:b w:val="0"/>
          <w:bCs w:val="0"/>
          <w:spacing w:val="0"/>
          <w:sz w:val="32"/>
          <w:szCs w:val="32"/>
          <w:highlight w:val="none"/>
          <w:lang w:eastAsia="zh-CN"/>
        </w:rPr>
        <w:t>单位全年安排的国内公务接待0批次，0人次。</w:t>
      </w:r>
    </w:p>
    <w:p w14:paraId="0259A16A">
      <w:pPr>
        <w:keepNext w:val="0"/>
        <w:keepLines w:val="0"/>
        <w:pageBreakBefore w:val="0"/>
        <w:widowControl w:val="0"/>
        <w:kinsoku/>
        <w:wordWrap/>
        <w:overflowPunct/>
        <w:topLinePunct w:val="0"/>
        <w:autoSpaceDE/>
        <w:autoSpaceDN/>
        <w:bidi w:val="0"/>
        <w:adjustRightInd/>
        <w:snapToGrid/>
        <w:spacing w:line="240" w:lineRule="auto"/>
        <w:ind w:left="0" w:leftChars="0" w:firstLine="643" w:firstLineChars="200"/>
        <w:jc w:val="both"/>
        <w:textAlignment w:val="auto"/>
        <w:rPr>
          <w:rFonts w:hint="eastAsia" w:ascii="仿宋_GB2312" w:eastAsia="仿宋_GB2312"/>
          <w:b w:val="0"/>
          <w:bCs w:val="0"/>
          <w:sz w:val="32"/>
          <w:szCs w:val="32"/>
          <w:highlight w:val="none"/>
          <w:lang w:eastAsia="zh-CN"/>
        </w:rPr>
      </w:pPr>
      <w:r>
        <w:rPr>
          <w:rFonts w:hint="eastAsia" w:ascii="仿宋_GB2312" w:eastAsia="仿宋_GB2312"/>
          <w:b/>
          <w:bCs/>
          <w:spacing w:val="0"/>
          <w:sz w:val="32"/>
          <w:szCs w:val="32"/>
          <w:highlight w:val="none"/>
          <w:lang w:eastAsia="zh-CN"/>
        </w:rPr>
        <w:t>与全年预算相比</w:t>
      </w:r>
      <w:r>
        <w:rPr>
          <w:rFonts w:hint="eastAsia" w:ascii="仿宋_GB2312" w:eastAsia="仿宋_GB2312"/>
          <w:b w:val="0"/>
          <w:bCs w:val="0"/>
          <w:spacing w:val="0"/>
          <w:sz w:val="32"/>
          <w:szCs w:val="32"/>
          <w:highlight w:val="none"/>
          <w:lang w:eastAsia="zh-CN"/>
        </w:rPr>
        <w:t>，财政拨款“三公”经费支出全年预算数3.56万元，决算数3.56万元，预决算差异率0.00%，主要原因是：</w:t>
      </w:r>
      <w:r>
        <w:rPr>
          <w:rFonts w:hint="eastAsia" w:ascii="仿宋_GB2312" w:eastAsia="仿宋_GB2312"/>
          <w:b w:val="0"/>
          <w:bCs w:val="0"/>
          <w:spacing w:val="0"/>
          <w:sz w:val="32"/>
          <w:szCs w:val="32"/>
          <w:highlight w:val="none"/>
          <w:lang w:val="en-US" w:eastAsia="zh-CN"/>
        </w:rPr>
        <w:t>我</w:t>
      </w:r>
      <w:r>
        <w:rPr>
          <w:rFonts w:hint="eastAsia" w:ascii="仿宋_GB2312" w:eastAsia="仿宋_GB2312"/>
          <w:b w:val="0"/>
          <w:bCs w:val="0"/>
          <w:spacing w:val="0"/>
          <w:sz w:val="32"/>
          <w:szCs w:val="32"/>
          <w:highlight w:val="none"/>
          <w:lang w:eastAsia="zh-CN"/>
        </w:rPr>
        <w:t>单位</w:t>
      </w:r>
      <w:r>
        <w:rPr>
          <w:rFonts w:hint="eastAsia" w:ascii="仿宋_GB2312" w:eastAsia="仿宋_GB2312"/>
          <w:b w:val="0"/>
          <w:bCs w:val="0"/>
          <w:spacing w:val="0"/>
          <w:sz w:val="32"/>
          <w:szCs w:val="32"/>
          <w:highlight w:val="none"/>
          <w:lang w:val="en-US" w:eastAsia="zh-CN"/>
        </w:rPr>
        <w:t>厉行</w:t>
      </w:r>
      <w:r>
        <w:rPr>
          <w:rFonts w:hint="eastAsia" w:ascii="仿宋_GB2312" w:eastAsia="仿宋_GB2312"/>
          <w:b w:val="0"/>
          <w:bCs w:val="0"/>
          <w:spacing w:val="0"/>
          <w:sz w:val="32"/>
          <w:szCs w:val="32"/>
          <w:highlight w:val="none"/>
          <w:lang w:eastAsia="zh-CN"/>
        </w:rPr>
        <w:t>节约，严格控制“三公”经费支出，</w:t>
      </w:r>
      <w:r>
        <w:rPr>
          <w:rFonts w:hint="eastAsia" w:ascii="仿宋_GB2312" w:eastAsia="仿宋_GB2312"/>
          <w:b w:val="0"/>
          <w:bCs w:val="0"/>
          <w:spacing w:val="0"/>
          <w:sz w:val="32"/>
          <w:szCs w:val="32"/>
          <w:highlight w:val="none"/>
          <w:lang w:val="en-US" w:eastAsia="zh-CN"/>
        </w:rPr>
        <w:t>本年支出与预算保持一致</w:t>
      </w:r>
      <w:bookmarkStart w:id="60" w:name="_GoBack"/>
      <w:bookmarkEnd w:id="60"/>
      <w:r>
        <w:rPr>
          <w:rFonts w:hint="eastAsia" w:ascii="仿宋_GB2312" w:eastAsia="仿宋_GB2312"/>
          <w:b w:val="0"/>
          <w:bCs w:val="0"/>
          <w:spacing w:val="0"/>
          <w:sz w:val="32"/>
          <w:szCs w:val="32"/>
          <w:highlight w:val="none"/>
          <w:lang w:eastAsia="zh-CN"/>
        </w:rPr>
        <w:t>。其中：因公出国（境）费全年预算数0.00万元，决算数0.00万元，预决算差异率0.00%，主要原因是：</w:t>
      </w:r>
      <w:r>
        <w:rPr>
          <w:rFonts w:hint="eastAsia" w:ascii="仿宋_GB2312" w:hAnsi="Times New Roman" w:eastAsia="仿宋_GB2312" w:cs="Times New Roman"/>
          <w:kern w:val="2"/>
          <w:sz w:val="32"/>
          <w:szCs w:val="32"/>
          <w:highlight w:val="none"/>
          <w:lang w:eastAsia="zh-CN"/>
        </w:rPr>
        <w:t>2024年我单位未安排因公出国（境）费</w:t>
      </w:r>
      <w:r>
        <w:rPr>
          <w:rFonts w:hint="eastAsia" w:ascii="仿宋_GB2312" w:eastAsia="仿宋_GB2312" w:cs="Times New Roman"/>
          <w:kern w:val="2"/>
          <w:sz w:val="32"/>
          <w:szCs w:val="32"/>
          <w:highlight w:val="none"/>
          <w:lang w:eastAsia="zh-CN"/>
        </w:rPr>
        <w:t>支出</w:t>
      </w:r>
      <w:r>
        <w:rPr>
          <w:rFonts w:hint="eastAsia" w:ascii="仿宋_GB2312" w:eastAsia="仿宋_GB2312"/>
          <w:b w:val="0"/>
          <w:bCs w:val="0"/>
          <w:spacing w:val="0"/>
          <w:sz w:val="32"/>
          <w:szCs w:val="32"/>
          <w:highlight w:val="none"/>
          <w:lang w:eastAsia="zh-CN"/>
        </w:rPr>
        <w:t>；公务用车购置费全年预算数0.00万元，决算数0.00万元，预决算差异率0.00%，主要原因是：</w:t>
      </w:r>
      <w:r>
        <w:rPr>
          <w:rFonts w:hint="eastAsia" w:ascii="仿宋_GB2312" w:hAnsi="Times New Roman" w:eastAsia="仿宋_GB2312" w:cs="Times New Roman"/>
          <w:kern w:val="2"/>
          <w:sz w:val="32"/>
          <w:szCs w:val="32"/>
          <w:highlight w:val="none"/>
          <w:lang w:eastAsia="zh-CN"/>
        </w:rPr>
        <w:t>2024年我单位未安排公务用车购置费</w:t>
      </w:r>
      <w:r>
        <w:rPr>
          <w:rFonts w:hint="eastAsia" w:ascii="仿宋_GB2312" w:eastAsia="仿宋_GB2312" w:cs="Times New Roman"/>
          <w:kern w:val="2"/>
          <w:sz w:val="32"/>
          <w:szCs w:val="32"/>
          <w:highlight w:val="none"/>
          <w:lang w:eastAsia="zh-CN"/>
        </w:rPr>
        <w:t>支出</w:t>
      </w:r>
      <w:r>
        <w:rPr>
          <w:rFonts w:hint="eastAsia" w:ascii="仿宋_GB2312" w:hAnsi="Times New Roman" w:eastAsia="仿宋_GB2312" w:cs="Times New Roman"/>
          <w:kern w:val="2"/>
          <w:sz w:val="32"/>
          <w:szCs w:val="32"/>
          <w:highlight w:val="none"/>
          <w:lang w:eastAsia="zh-CN"/>
        </w:rPr>
        <w:t>；</w:t>
      </w:r>
      <w:r>
        <w:rPr>
          <w:rFonts w:hint="eastAsia" w:ascii="仿宋_GB2312" w:eastAsia="仿宋_GB2312"/>
          <w:b w:val="0"/>
          <w:bCs w:val="0"/>
          <w:spacing w:val="0"/>
          <w:sz w:val="32"/>
          <w:szCs w:val="32"/>
          <w:highlight w:val="none"/>
          <w:lang w:eastAsia="zh-CN"/>
        </w:rPr>
        <w:t>公务用车运行</w:t>
      </w:r>
      <w:r>
        <w:rPr>
          <w:rFonts w:hint="eastAsia" w:ascii="仿宋_GB2312" w:eastAsia="仿宋_GB2312"/>
          <w:b w:val="0"/>
          <w:bCs w:val="0"/>
          <w:spacing w:val="0"/>
          <w:sz w:val="32"/>
          <w:szCs w:val="32"/>
          <w:highlight w:val="none"/>
          <w:lang w:val="en-US" w:eastAsia="zh-CN"/>
        </w:rPr>
        <w:t>维护</w:t>
      </w:r>
      <w:r>
        <w:rPr>
          <w:rFonts w:hint="eastAsia" w:ascii="仿宋_GB2312" w:eastAsia="仿宋_GB2312"/>
          <w:b w:val="0"/>
          <w:bCs w:val="0"/>
          <w:spacing w:val="0"/>
          <w:sz w:val="32"/>
          <w:szCs w:val="32"/>
          <w:highlight w:val="none"/>
          <w:lang w:eastAsia="zh-CN"/>
        </w:rPr>
        <w:t>费全年预算数3.56万元，决算数3.56万元，预决算差异率0.00%，主要原因是：</w:t>
      </w:r>
      <w:r>
        <w:rPr>
          <w:rFonts w:ascii="仿宋_GB2312" w:eastAsia="仿宋_GB2312"/>
          <w:b w:val="0"/>
          <w:sz w:val="32"/>
          <w:szCs w:val="32"/>
        </w:rPr>
        <w:t>严格执行公务用车运行</w:t>
      </w:r>
      <w:r>
        <w:rPr>
          <w:rFonts w:hint="eastAsia" w:ascii="仿宋_GB2312" w:eastAsia="仿宋_GB2312"/>
          <w:b w:val="0"/>
          <w:sz w:val="32"/>
          <w:szCs w:val="32"/>
          <w:lang w:eastAsia="zh-CN"/>
        </w:rPr>
        <w:t>维护</w:t>
      </w:r>
      <w:r>
        <w:rPr>
          <w:rFonts w:ascii="仿宋_GB2312" w:eastAsia="仿宋_GB2312"/>
          <w:b w:val="0"/>
          <w:sz w:val="32"/>
          <w:szCs w:val="32"/>
        </w:rPr>
        <w:t>费预算</w:t>
      </w:r>
      <w:r>
        <w:rPr>
          <w:rFonts w:hint="eastAsia" w:ascii="仿宋_GB2312" w:eastAsia="仿宋_GB2312"/>
          <w:b w:val="0"/>
          <w:sz w:val="32"/>
          <w:szCs w:val="32"/>
          <w:lang w:eastAsia="zh-CN"/>
        </w:rPr>
        <w:t>，</w:t>
      </w:r>
      <w:r>
        <w:rPr>
          <w:rFonts w:ascii="仿宋_GB2312" w:eastAsia="仿宋_GB2312"/>
          <w:b w:val="0"/>
          <w:sz w:val="32"/>
          <w:szCs w:val="32"/>
        </w:rPr>
        <w:t>与本年支出</w:t>
      </w:r>
      <w:r>
        <w:rPr>
          <w:rFonts w:hint="eastAsia" w:ascii="仿宋_GB2312" w:eastAsia="仿宋_GB2312"/>
          <w:b w:val="0"/>
          <w:sz w:val="32"/>
          <w:szCs w:val="32"/>
          <w:lang w:val="en-US" w:eastAsia="zh-CN"/>
        </w:rPr>
        <w:t>一致；</w:t>
      </w:r>
      <w:r>
        <w:rPr>
          <w:rFonts w:hint="eastAsia" w:ascii="仿宋_GB2312" w:eastAsia="仿宋_GB2312"/>
          <w:b w:val="0"/>
          <w:bCs w:val="0"/>
          <w:spacing w:val="0"/>
          <w:sz w:val="32"/>
          <w:szCs w:val="32"/>
          <w:highlight w:val="none"/>
          <w:lang w:eastAsia="zh-CN"/>
        </w:rPr>
        <w:t>公务接待费全年预算数0.00万元，决算数0.00万元，预决算差异率0.00%，主要原因是：</w:t>
      </w:r>
      <w:r>
        <w:rPr>
          <w:rFonts w:hint="eastAsia" w:ascii="仿宋_GB2312" w:hAnsi="Times New Roman" w:eastAsia="仿宋_GB2312" w:cs="Times New Roman"/>
          <w:kern w:val="2"/>
          <w:sz w:val="32"/>
          <w:szCs w:val="32"/>
          <w:highlight w:val="none"/>
          <w:lang w:eastAsia="zh-CN"/>
        </w:rPr>
        <w:t>2024年我单位未安排公务接待费</w:t>
      </w:r>
      <w:r>
        <w:rPr>
          <w:rFonts w:hint="eastAsia" w:ascii="仿宋_GB2312" w:eastAsia="仿宋_GB2312" w:cs="Times New Roman"/>
          <w:kern w:val="2"/>
          <w:sz w:val="32"/>
          <w:szCs w:val="32"/>
          <w:highlight w:val="none"/>
          <w:lang w:eastAsia="zh-CN"/>
        </w:rPr>
        <w:t>支出</w:t>
      </w:r>
      <w:r>
        <w:rPr>
          <w:rFonts w:hint="eastAsia" w:ascii="仿宋_GB2312" w:hAnsi="Times New Roman" w:eastAsia="仿宋_GB2312" w:cs="Times New Roman"/>
          <w:kern w:val="2"/>
          <w:sz w:val="32"/>
          <w:szCs w:val="32"/>
          <w:highlight w:val="none"/>
          <w:lang w:eastAsia="zh-CN"/>
        </w:rPr>
        <w:t>。</w:t>
      </w:r>
    </w:p>
    <w:p w14:paraId="0235F21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28" w:name="_Toc30255"/>
      <w:bookmarkStart w:id="29" w:name="_Toc7314"/>
      <w:r>
        <w:rPr>
          <w:rFonts w:hint="eastAsia" w:ascii="黑体" w:hAnsi="黑体" w:eastAsia="黑体" w:cs="宋体"/>
          <w:bCs/>
          <w:kern w:val="0"/>
          <w:sz w:val="32"/>
          <w:szCs w:val="32"/>
          <w:highlight w:val="none"/>
          <w:lang w:eastAsia="zh-CN"/>
        </w:rPr>
        <w:t>十</w:t>
      </w:r>
      <w:r>
        <w:rPr>
          <w:rFonts w:hint="eastAsia" w:ascii="黑体" w:hAnsi="黑体" w:eastAsia="黑体" w:cs="宋体"/>
          <w:bCs/>
          <w:kern w:val="0"/>
          <w:sz w:val="32"/>
          <w:szCs w:val="32"/>
          <w:highlight w:val="none"/>
        </w:rPr>
        <w:t>、其他重要事项的情况</w:t>
      </w:r>
      <w:r>
        <w:rPr>
          <w:rFonts w:hint="eastAsia" w:ascii="黑体" w:hAnsi="黑体" w:eastAsia="黑体" w:cs="宋体"/>
          <w:bCs/>
          <w:kern w:val="0"/>
          <w:sz w:val="32"/>
          <w:szCs w:val="32"/>
          <w:highlight w:val="none"/>
          <w:lang w:eastAsia="zh-CN"/>
        </w:rPr>
        <w:t>说明</w:t>
      </w:r>
      <w:bookmarkEnd w:id="28"/>
      <w:bookmarkEnd w:id="29"/>
    </w:p>
    <w:p w14:paraId="26D4BF0D">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sz w:val="32"/>
          <w:szCs w:val="32"/>
          <w:highlight w:val="none"/>
        </w:rPr>
      </w:pPr>
      <w:bookmarkStart w:id="30" w:name="_Toc813"/>
      <w:bookmarkStart w:id="31" w:name="_Toc13105"/>
      <w:r>
        <w:rPr>
          <w:rFonts w:hint="eastAsia" w:ascii="黑体" w:hAnsi="黑体" w:eastAsia="黑体"/>
          <w:sz w:val="32"/>
          <w:szCs w:val="32"/>
          <w:highlight w:val="none"/>
          <w:lang w:eastAsia="zh-CN"/>
        </w:rPr>
        <w:t>（一）</w:t>
      </w:r>
      <w:r>
        <w:rPr>
          <w:rFonts w:hint="eastAsia" w:ascii="黑体" w:hAnsi="黑体" w:eastAsia="黑体"/>
          <w:sz w:val="32"/>
          <w:szCs w:val="32"/>
          <w:highlight w:val="none"/>
        </w:rPr>
        <w:t>机关运行经费</w:t>
      </w:r>
      <w:r>
        <w:rPr>
          <w:rFonts w:hint="eastAsia" w:ascii="黑体" w:hAnsi="黑体" w:eastAsia="黑体"/>
          <w:sz w:val="32"/>
          <w:szCs w:val="32"/>
          <w:highlight w:val="none"/>
          <w:lang w:val="en-US" w:eastAsia="zh-CN"/>
        </w:rPr>
        <w:t>及公用经费</w:t>
      </w:r>
      <w:r>
        <w:rPr>
          <w:rFonts w:hint="eastAsia" w:ascii="黑体" w:hAnsi="黑体" w:eastAsia="黑体"/>
          <w:sz w:val="32"/>
          <w:szCs w:val="32"/>
          <w:highlight w:val="none"/>
        </w:rPr>
        <w:t>支出情况</w:t>
      </w:r>
      <w:bookmarkEnd w:id="30"/>
      <w:bookmarkEnd w:id="31"/>
    </w:p>
    <w:p w14:paraId="2D6A9645">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red"/>
          <w:lang w:eastAsia="zh-CN"/>
        </w:rPr>
      </w:pPr>
      <w:r>
        <w:rPr>
          <w:rFonts w:hint="eastAsia" w:ascii="仿宋_GB2312" w:eastAsia="仿宋_GB2312"/>
          <w:spacing w:val="0"/>
          <w:sz w:val="32"/>
          <w:szCs w:val="32"/>
          <w:highlight w:val="none"/>
          <w:lang w:eastAsia="zh-CN"/>
        </w:rPr>
        <w:t>2024年度新疆艺术剧院歌舞团公用经费支出131.23万元，比上年增加9.47万元，增长7.78%，主要原因是：本年度办公费增加，</w:t>
      </w:r>
      <w:r>
        <w:rPr>
          <w:rFonts w:hint="eastAsia" w:ascii="仿宋_GB2312" w:eastAsia="仿宋_GB2312"/>
          <w:sz w:val="32"/>
          <w:szCs w:val="32"/>
          <w:highlight w:val="none"/>
          <w:lang w:val="en-US" w:eastAsia="zh-CN"/>
        </w:rPr>
        <w:t>因有审计费，人事诉讼费，办公设备维修维护纳入办公费核算，导致办公费上升。</w:t>
      </w:r>
    </w:p>
    <w:p w14:paraId="66554120">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red"/>
          <w:lang w:eastAsia="zh-CN"/>
        </w:rPr>
      </w:pPr>
    </w:p>
    <w:p w14:paraId="4B5DB789">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sz w:val="32"/>
          <w:szCs w:val="32"/>
          <w:highlight w:val="none"/>
          <w:lang w:eastAsia="zh-CN"/>
        </w:rPr>
      </w:pPr>
      <w:bookmarkStart w:id="32" w:name="_Toc26704"/>
      <w:bookmarkStart w:id="33" w:name="_Toc707"/>
      <w:r>
        <w:rPr>
          <w:rFonts w:hint="eastAsia" w:ascii="黑体" w:hAnsi="黑体" w:eastAsia="黑体"/>
          <w:sz w:val="32"/>
          <w:szCs w:val="32"/>
          <w:highlight w:val="none"/>
          <w:lang w:eastAsia="zh-CN"/>
        </w:rPr>
        <w:t>（二）政府采购情况</w:t>
      </w:r>
      <w:bookmarkEnd w:id="32"/>
      <w:bookmarkEnd w:id="33"/>
    </w:p>
    <w:p w14:paraId="0CAE012B">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pacing w:val="0"/>
          <w:sz w:val="32"/>
          <w:szCs w:val="32"/>
          <w:highlight w:val="none"/>
          <w:lang w:eastAsia="zh-CN"/>
        </w:rPr>
      </w:pPr>
      <w:r>
        <w:rPr>
          <w:rFonts w:hint="eastAsia" w:ascii="仿宋_GB2312" w:eastAsia="仿宋_GB2312"/>
          <w:spacing w:val="0"/>
          <w:sz w:val="32"/>
          <w:szCs w:val="32"/>
          <w:highlight w:val="none"/>
          <w:lang w:eastAsia="zh-CN"/>
        </w:rPr>
        <w:t>2024年度政府采购支出总额51.64万元，其中：政府采购货物支出46.08万元、政府采购工程支出0.00万元、政府采购服务支出5.56万元。</w:t>
      </w:r>
    </w:p>
    <w:p w14:paraId="6FB88E9C">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lang w:val="en-US" w:eastAsia="zh-CN"/>
        </w:rPr>
      </w:pPr>
      <w:r>
        <w:rPr>
          <w:rFonts w:hint="eastAsia" w:ascii="仿宋_GB2312" w:eastAsia="仿宋_GB2312"/>
          <w:spacing w:val="0"/>
          <w:sz w:val="32"/>
          <w:szCs w:val="32"/>
          <w:highlight w:val="none"/>
          <w:lang w:eastAsia="zh-CN"/>
        </w:rPr>
        <w:t>授予中小企业合同金额51.64万元，占政府采购支出总额的100.00%，其中：授予小微企业合同金额51.64万元，占政府采购支出总额的100.00%</w:t>
      </w:r>
      <w:r>
        <w:rPr>
          <w:rFonts w:hint="eastAsia" w:ascii="仿宋_GB2312" w:eastAsia="仿宋_GB2312"/>
          <w:sz w:val="32"/>
          <w:szCs w:val="32"/>
          <w:highlight w:val="none"/>
          <w:lang w:val="en-US" w:eastAsia="zh-CN"/>
        </w:rPr>
        <w:t>。</w:t>
      </w:r>
    </w:p>
    <w:p w14:paraId="7C85CFB9">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outlineLvl w:val="2"/>
        <w:rPr>
          <w:rFonts w:hint="eastAsia" w:ascii="黑体" w:hAnsi="黑体" w:eastAsia="黑体"/>
          <w:sz w:val="32"/>
          <w:szCs w:val="32"/>
          <w:highlight w:val="none"/>
          <w:lang w:eastAsia="zh-CN"/>
        </w:rPr>
      </w:pPr>
      <w:bookmarkStart w:id="34" w:name="_Toc16573"/>
      <w:bookmarkStart w:id="35" w:name="_Toc4591"/>
      <w:r>
        <w:rPr>
          <w:rFonts w:hint="eastAsia" w:ascii="黑体" w:hAnsi="黑体" w:eastAsia="黑体"/>
          <w:sz w:val="32"/>
          <w:szCs w:val="32"/>
          <w:highlight w:val="none"/>
          <w:lang w:eastAsia="zh-CN"/>
        </w:rPr>
        <w:t>（三）国有资产占用情况说明</w:t>
      </w:r>
      <w:bookmarkEnd w:id="34"/>
      <w:bookmarkEnd w:id="35"/>
    </w:p>
    <w:p w14:paraId="4D601EEF">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val="en-US" w:eastAsia="zh-CN"/>
        </w:rPr>
        <w:t>截至2024年12月31日，房屋1,521.00平方米，价值493.46万元。车辆7辆，价值242.08万元，其中：副部（省）级及以上领导用车0辆、主要负责人用车0辆、机要通信用车0辆、应急保障用车0辆、执法执勤用车0辆、特种专业技术用车0辆、离退休干部服务用车0辆、其他用车7辆，其他用车主要是：</w:t>
      </w:r>
      <w:r>
        <w:rPr>
          <w:rFonts w:ascii="仿宋_GB2312" w:eastAsia="仿宋_GB2312"/>
          <w:b w:val="0"/>
          <w:sz w:val="32"/>
          <w:szCs w:val="32"/>
          <w:highlight w:val="none"/>
        </w:rPr>
        <w:t>一般公务用车</w:t>
      </w:r>
      <w:r>
        <w:rPr>
          <w:rFonts w:hint="eastAsia" w:ascii="仿宋_GB2312" w:eastAsia="仿宋_GB2312"/>
          <w:b w:val="0"/>
          <w:sz w:val="32"/>
          <w:szCs w:val="32"/>
          <w:highlight w:val="none"/>
          <w:lang w:eastAsia="zh-CN"/>
        </w:rPr>
        <w:t>。</w:t>
      </w:r>
      <w:r>
        <w:rPr>
          <w:rFonts w:hint="eastAsia" w:ascii="仿宋_GB2312" w:eastAsia="仿宋_GB2312"/>
          <w:sz w:val="32"/>
          <w:szCs w:val="32"/>
          <w:highlight w:val="none"/>
          <w:lang w:val="en-US" w:eastAsia="zh-CN"/>
        </w:rPr>
        <w:t>单价100万元（含）以上设备（不含车辆）1台（套）</w:t>
      </w:r>
      <w:r>
        <w:rPr>
          <w:rFonts w:hint="eastAsia" w:ascii="仿宋_GB2312" w:eastAsia="仿宋_GB2312"/>
          <w:sz w:val="32"/>
          <w:szCs w:val="32"/>
          <w:highlight w:val="none"/>
        </w:rPr>
        <w:t>。</w:t>
      </w:r>
    </w:p>
    <w:p w14:paraId="72012DD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36" w:name="_Toc435"/>
      <w:bookmarkStart w:id="37" w:name="_Toc32589"/>
      <w:r>
        <w:rPr>
          <w:rFonts w:hint="eastAsia" w:ascii="黑体" w:hAnsi="黑体" w:eastAsia="黑体" w:cs="宋体"/>
          <w:bCs/>
          <w:kern w:val="0"/>
          <w:sz w:val="32"/>
          <w:szCs w:val="32"/>
          <w:highlight w:val="none"/>
          <w:lang w:eastAsia="zh-CN"/>
        </w:rPr>
        <w:t>十</w:t>
      </w:r>
      <w:r>
        <w:rPr>
          <w:rFonts w:hint="eastAsia" w:ascii="黑体" w:hAnsi="黑体" w:eastAsia="黑体" w:cs="宋体"/>
          <w:bCs/>
          <w:kern w:val="0"/>
          <w:sz w:val="32"/>
          <w:szCs w:val="32"/>
          <w:highlight w:val="none"/>
          <w:lang w:val="en-US" w:eastAsia="zh-CN"/>
        </w:rPr>
        <w:t>一</w:t>
      </w:r>
      <w:r>
        <w:rPr>
          <w:rFonts w:hint="eastAsia" w:ascii="黑体" w:hAnsi="黑体" w:eastAsia="黑体" w:cs="宋体"/>
          <w:bCs/>
          <w:kern w:val="0"/>
          <w:sz w:val="32"/>
          <w:szCs w:val="32"/>
          <w:highlight w:val="none"/>
          <w:lang w:eastAsia="zh-CN"/>
        </w:rPr>
        <w:t>、预算绩效的情况说明</w:t>
      </w:r>
      <w:bookmarkEnd w:id="36"/>
      <w:bookmarkEnd w:id="37"/>
    </w:p>
    <w:p w14:paraId="030948EE">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hAnsi="仿宋_GB2312" w:eastAsia="仿宋_GB2312" w:cs="仿宋_GB2312"/>
          <w:b w:val="0"/>
          <w:bCs w:val="0"/>
          <w:color w:val="auto"/>
          <w:kern w:val="0"/>
          <w:sz w:val="32"/>
          <w:szCs w:val="32"/>
          <w:highlight w:val="none"/>
          <w:lang w:val="en-US" w:eastAsia="zh-Hans"/>
        </w:rPr>
      </w:pPr>
      <w:r>
        <w:rPr>
          <w:rFonts w:hint="eastAsia" w:ascii="仿宋_GB2312" w:eastAsia="仿宋_GB2312"/>
          <w:b w:val="0"/>
          <w:bCs w:val="0"/>
          <w:sz w:val="32"/>
          <w:szCs w:val="32"/>
          <w:highlight w:val="none"/>
          <w:lang w:eastAsia="zh-CN"/>
        </w:rPr>
        <w:t>根据预算绩效管理要求，本单位2024年度预算绩效评价项目2个，全年预算数410.00万元，全年执行数410.00万元。预算绩效管理取得的成效：一是本单位项目全面纳入预算绩效管理，项目实施期间严格按照预算方案执行，进行宏观调控，统一领导，分级管理，专人负责，根据项目资金用途做到专款专用；确保了项目实施质量和资金使用效益；二是2023年度项目实施总体完成情况好，保证了我单位各项业务工作的正常开展，完成了既定绩效目标任务。发现的问题及原因：年中追加项目多为政府采购项目，存在采购流程周期较长，项目实施及验收周期延后。下一步改进措施：完善预算绩效管理体系建设，加强绩效管理，加快项目开展及预算执行进度，及时完成项目实施及资金支付，实现预定绩效目标。具体附项目支出绩效自评表（见附</w:t>
      </w:r>
      <w:r>
        <w:rPr>
          <w:rFonts w:hint="eastAsia" w:ascii="仿宋_GB2312" w:eastAsia="仿宋_GB2312"/>
          <w:b w:val="0"/>
          <w:bCs w:val="0"/>
          <w:sz w:val="32"/>
          <w:szCs w:val="32"/>
          <w:highlight w:val="none"/>
          <w:lang w:val="en-US" w:eastAsia="zh-CN"/>
        </w:rPr>
        <w:t>件2</w:t>
      </w:r>
      <w:r>
        <w:rPr>
          <w:rFonts w:hint="eastAsia" w:ascii="仿宋_GB2312" w:eastAsia="仿宋_GB2312"/>
          <w:b w:val="0"/>
          <w:bCs w:val="0"/>
          <w:sz w:val="32"/>
          <w:szCs w:val="32"/>
          <w:highlight w:val="none"/>
          <w:lang w:eastAsia="zh-CN"/>
        </w:rPr>
        <w:t>）</w:t>
      </w:r>
      <w:r>
        <w:rPr>
          <w:rFonts w:hint="eastAsia" w:ascii="仿宋_GB2312" w:eastAsia="仿宋_GB2312"/>
          <w:b w:val="0"/>
          <w:bCs w:val="0"/>
          <w:sz w:val="32"/>
          <w:szCs w:val="32"/>
          <w:highlight w:val="none"/>
          <w:lang w:val="en-US" w:eastAsia="zh-CN"/>
        </w:rPr>
        <w:t>。</w:t>
      </w:r>
    </w:p>
    <w:p w14:paraId="0810F36C">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kern w:val="0"/>
          <w:sz w:val="32"/>
          <w:szCs w:val="32"/>
          <w:highlight w:val="none"/>
          <w:lang w:eastAsia="zh-CN"/>
        </w:rPr>
      </w:pPr>
      <w:bookmarkStart w:id="38" w:name="_Toc3606"/>
      <w:r>
        <w:rPr>
          <w:rFonts w:hint="eastAsia" w:ascii="黑体" w:hAnsi="黑体" w:eastAsia="黑体" w:cs="宋体"/>
          <w:bCs/>
          <w:kern w:val="0"/>
          <w:sz w:val="32"/>
          <w:szCs w:val="32"/>
          <w:highlight w:val="none"/>
          <w:lang w:eastAsia="zh-CN"/>
        </w:rPr>
        <w:t>十</w:t>
      </w:r>
      <w:r>
        <w:rPr>
          <w:rFonts w:hint="eastAsia" w:ascii="黑体" w:hAnsi="黑体" w:eastAsia="黑体" w:cs="宋体"/>
          <w:bCs/>
          <w:kern w:val="0"/>
          <w:sz w:val="32"/>
          <w:szCs w:val="32"/>
          <w:highlight w:val="none"/>
          <w:lang w:val="en-US" w:eastAsia="zh-CN"/>
        </w:rPr>
        <w:t>二</w:t>
      </w:r>
      <w:r>
        <w:rPr>
          <w:rFonts w:hint="eastAsia" w:ascii="黑体" w:hAnsi="黑体" w:eastAsia="黑体" w:cs="宋体"/>
          <w:bCs/>
          <w:kern w:val="0"/>
          <w:sz w:val="32"/>
          <w:szCs w:val="32"/>
          <w:highlight w:val="none"/>
          <w:lang w:eastAsia="zh-CN"/>
        </w:rPr>
        <w:t>、其他需说明的事项</w:t>
      </w:r>
      <w:bookmarkEnd w:id="38"/>
    </w:p>
    <w:p w14:paraId="232B6126">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default"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本单位无其他需说明事项。</w:t>
      </w:r>
    </w:p>
    <w:p w14:paraId="1606F950">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hAnsi="仿宋_GB2312" w:eastAsia="仿宋_GB2312" w:cs="仿宋_GB2312"/>
          <w:b/>
          <w:bCs/>
          <w:color w:val="auto"/>
          <w:kern w:val="0"/>
          <w:sz w:val="32"/>
          <w:szCs w:val="32"/>
          <w:highlight w:val="none"/>
          <w:lang w:val="en-US" w:eastAsia="zh-CN"/>
        </w:rPr>
      </w:pPr>
    </w:p>
    <w:p w14:paraId="4F3C08B2">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sz w:val="32"/>
          <w:szCs w:val="32"/>
          <w:highlight w:val="none"/>
        </w:rPr>
      </w:pPr>
      <w:bookmarkStart w:id="39" w:name="_Toc24143"/>
      <w:r>
        <w:rPr>
          <w:rFonts w:hint="eastAsia" w:ascii="黑体" w:hAnsi="黑体" w:eastAsia="黑体"/>
          <w:sz w:val="32"/>
          <w:szCs w:val="32"/>
          <w:highlight w:val="none"/>
        </w:rPr>
        <w:br w:type="page"/>
      </w:r>
      <w:bookmarkStart w:id="40" w:name="_Toc9851"/>
      <w:r>
        <w:rPr>
          <w:rFonts w:hint="eastAsia" w:ascii="黑体" w:hAnsi="黑体" w:eastAsia="黑体"/>
          <w:sz w:val="32"/>
          <w:szCs w:val="32"/>
          <w:highlight w:val="none"/>
        </w:rPr>
        <w:t>第</w:t>
      </w:r>
      <w:r>
        <w:rPr>
          <w:rFonts w:hint="eastAsia" w:ascii="黑体" w:hAnsi="黑体" w:eastAsia="黑体"/>
          <w:sz w:val="32"/>
          <w:szCs w:val="32"/>
          <w:highlight w:val="none"/>
          <w:lang w:val="en-US" w:eastAsia="zh-CN"/>
        </w:rPr>
        <w:t>三</w:t>
      </w:r>
      <w:r>
        <w:rPr>
          <w:rFonts w:hint="eastAsia" w:ascii="黑体" w:hAnsi="黑体" w:eastAsia="黑体"/>
          <w:sz w:val="32"/>
          <w:szCs w:val="32"/>
          <w:highlight w:val="none"/>
        </w:rPr>
        <w:t>部分 专业名词解释</w:t>
      </w:r>
      <w:bookmarkEnd w:id="39"/>
      <w:bookmarkEnd w:id="40"/>
    </w:p>
    <w:p w14:paraId="2218DBB6">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一、</w:t>
      </w:r>
      <w:r>
        <w:rPr>
          <w:rFonts w:hint="eastAsia" w:ascii="仿宋_GB2312" w:eastAsia="仿宋_GB2312"/>
          <w:b/>
          <w:bCs/>
          <w:sz w:val="32"/>
          <w:szCs w:val="32"/>
          <w:highlight w:val="none"/>
        </w:rPr>
        <w:t>财政拨款收入：</w:t>
      </w:r>
      <w:r>
        <w:rPr>
          <w:rFonts w:hint="eastAsia" w:ascii="仿宋_GB2312" w:eastAsia="仿宋_GB2312"/>
          <w:sz w:val="32"/>
          <w:szCs w:val="32"/>
          <w:highlight w:val="none"/>
        </w:rPr>
        <w:t>指同级财政当年拨付的资金。</w:t>
      </w:r>
    </w:p>
    <w:p w14:paraId="72F72117">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二、</w:t>
      </w:r>
      <w:r>
        <w:rPr>
          <w:rFonts w:hint="eastAsia" w:ascii="仿宋_GB2312" w:eastAsia="仿宋_GB2312"/>
          <w:b/>
          <w:bCs/>
          <w:sz w:val="32"/>
          <w:szCs w:val="32"/>
          <w:highlight w:val="none"/>
        </w:rPr>
        <w:t>上级补助收入：</w:t>
      </w:r>
      <w:r>
        <w:rPr>
          <w:rFonts w:hint="eastAsia" w:ascii="仿宋_GB2312" w:eastAsia="仿宋_GB2312"/>
          <w:sz w:val="32"/>
          <w:szCs w:val="32"/>
          <w:highlight w:val="none"/>
        </w:rPr>
        <w:t>指事业单位从主管部门和上级单位取得的非财政补助收入。</w:t>
      </w:r>
    </w:p>
    <w:p w14:paraId="26C7C555">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三、</w:t>
      </w:r>
      <w:r>
        <w:rPr>
          <w:rFonts w:hint="eastAsia" w:ascii="仿宋_GB2312" w:eastAsia="仿宋_GB2312"/>
          <w:b/>
          <w:bCs/>
          <w:sz w:val="32"/>
          <w:szCs w:val="32"/>
          <w:highlight w:val="none"/>
        </w:rPr>
        <w:t>事业收入：</w:t>
      </w:r>
      <w:r>
        <w:rPr>
          <w:rFonts w:hint="eastAsia" w:ascii="仿宋_GB2312" w:eastAsia="仿宋_GB2312"/>
          <w:sz w:val="32"/>
          <w:szCs w:val="32"/>
          <w:highlight w:val="none"/>
        </w:rPr>
        <w:t>指事业单位开展专业业务活动及其辅助活动所取得的收入。</w:t>
      </w:r>
    </w:p>
    <w:p w14:paraId="31550771">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四、</w:t>
      </w:r>
      <w:r>
        <w:rPr>
          <w:rFonts w:hint="eastAsia" w:ascii="仿宋_GB2312" w:eastAsia="仿宋_GB2312"/>
          <w:b/>
          <w:bCs/>
          <w:sz w:val="32"/>
          <w:szCs w:val="32"/>
          <w:highlight w:val="none"/>
        </w:rPr>
        <w:t>经营收入：</w:t>
      </w:r>
      <w:r>
        <w:rPr>
          <w:rFonts w:hint="eastAsia" w:ascii="仿宋_GB2312" w:eastAsia="仿宋_GB2312"/>
          <w:sz w:val="32"/>
          <w:szCs w:val="32"/>
          <w:highlight w:val="none"/>
        </w:rPr>
        <w:t>指事业单位在专业业务活动及其辅助活动之外开展非独立核算经营活动取得的收入。</w:t>
      </w:r>
    </w:p>
    <w:p w14:paraId="344037D1">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五、</w:t>
      </w:r>
      <w:r>
        <w:rPr>
          <w:rFonts w:hint="eastAsia" w:ascii="仿宋_GB2312" w:eastAsia="仿宋_GB2312"/>
          <w:b/>
          <w:bCs/>
          <w:sz w:val="32"/>
          <w:szCs w:val="32"/>
          <w:highlight w:val="none"/>
        </w:rPr>
        <w:t>附属单位上缴收入：</w:t>
      </w:r>
      <w:r>
        <w:rPr>
          <w:rFonts w:hint="eastAsia" w:ascii="仿宋_GB2312" w:eastAsia="仿宋_GB2312"/>
          <w:sz w:val="32"/>
          <w:szCs w:val="32"/>
          <w:highlight w:val="none"/>
        </w:rPr>
        <w:t>指事业单位附属的独立核算单位按有关规定上缴的收入。</w:t>
      </w:r>
    </w:p>
    <w:p w14:paraId="6FC29CE4">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六、</w:t>
      </w:r>
      <w:r>
        <w:rPr>
          <w:rFonts w:hint="eastAsia" w:ascii="仿宋_GB2312" w:eastAsia="仿宋_GB2312"/>
          <w:b/>
          <w:bCs/>
          <w:sz w:val="32"/>
          <w:szCs w:val="32"/>
          <w:highlight w:val="none"/>
        </w:rPr>
        <w:t>其他收入：</w:t>
      </w:r>
      <w:r>
        <w:rPr>
          <w:rFonts w:hint="eastAsia" w:ascii="仿宋_GB2312" w:eastAsia="仿宋_GB2312"/>
          <w:sz w:val="32"/>
          <w:szCs w:val="32"/>
          <w:highlight w:val="none"/>
        </w:rPr>
        <w:t>指除上述“财政拨款收入”、“事业收入”、“经营收入”、“附属单位上缴收入”等之外取得的收入。</w:t>
      </w:r>
    </w:p>
    <w:p w14:paraId="147B6B85">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七、</w:t>
      </w:r>
      <w:r>
        <w:rPr>
          <w:rFonts w:hint="eastAsia" w:ascii="仿宋_GB2312" w:eastAsia="仿宋_GB2312"/>
          <w:b/>
          <w:bCs/>
          <w:sz w:val="32"/>
          <w:szCs w:val="32"/>
          <w:highlight w:val="none"/>
          <w:lang w:eastAsia="zh-CN"/>
        </w:rPr>
        <w:t>年初</w:t>
      </w:r>
      <w:r>
        <w:rPr>
          <w:rFonts w:hint="eastAsia" w:ascii="仿宋_GB2312" w:eastAsia="仿宋_GB2312"/>
          <w:b/>
          <w:bCs/>
          <w:sz w:val="32"/>
          <w:szCs w:val="32"/>
          <w:highlight w:val="none"/>
        </w:rPr>
        <w:t>结转和结余：</w:t>
      </w:r>
      <w:r>
        <w:rPr>
          <w:rFonts w:hint="eastAsia" w:ascii="仿宋_GB2312" w:eastAsia="仿宋_GB2312"/>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14:paraId="0125762B">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八、</w:t>
      </w:r>
      <w:r>
        <w:rPr>
          <w:rFonts w:hint="eastAsia" w:ascii="仿宋_GB2312" w:eastAsia="仿宋_GB2312"/>
          <w:b/>
          <w:bCs/>
          <w:sz w:val="32"/>
          <w:szCs w:val="32"/>
          <w:highlight w:val="none"/>
        </w:rPr>
        <w:t>年末结转和结余：</w:t>
      </w:r>
      <w:r>
        <w:rPr>
          <w:rFonts w:hint="eastAsia" w:ascii="仿宋_GB2312" w:eastAsia="仿宋_GB2312"/>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D50F549">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九、</w:t>
      </w:r>
      <w:r>
        <w:rPr>
          <w:rFonts w:hint="eastAsia" w:ascii="仿宋_GB2312" w:eastAsia="仿宋_GB2312"/>
          <w:b/>
          <w:bCs/>
          <w:sz w:val="32"/>
          <w:szCs w:val="32"/>
          <w:highlight w:val="none"/>
        </w:rPr>
        <w:t>基本支出：</w:t>
      </w:r>
      <w:r>
        <w:rPr>
          <w:rFonts w:hint="eastAsia" w:ascii="仿宋_GB2312" w:eastAsia="仿宋_GB2312"/>
          <w:sz w:val="32"/>
          <w:szCs w:val="32"/>
          <w:highlight w:val="none"/>
        </w:rPr>
        <w:t>指为保障机构正常运转、完成日常工作任务而发生的人员支出和公用支出。</w:t>
      </w:r>
    </w:p>
    <w:p w14:paraId="3D965E43">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十、</w:t>
      </w:r>
      <w:r>
        <w:rPr>
          <w:rFonts w:hint="eastAsia" w:ascii="仿宋_GB2312" w:eastAsia="仿宋_GB2312"/>
          <w:b/>
          <w:bCs/>
          <w:sz w:val="32"/>
          <w:szCs w:val="32"/>
          <w:highlight w:val="none"/>
        </w:rPr>
        <w:t>项目支出：</w:t>
      </w:r>
      <w:r>
        <w:rPr>
          <w:rFonts w:hint="eastAsia" w:ascii="仿宋_GB2312" w:eastAsia="仿宋_GB2312"/>
          <w:sz w:val="32"/>
          <w:szCs w:val="32"/>
          <w:highlight w:val="none"/>
        </w:rPr>
        <w:t>指在基本支出之外为完成特定行政任务和事业发展目标所发生的支出。</w:t>
      </w:r>
    </w:p>
    <w:p w14:paraId="60841E68">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十一、</w:t>
      </w:r>
      <w:r>
        <w:rPr>
          <w:rFonts w:hint="eastAsia" w:ascii="仿宋_GB2312" w:eastAsia="仿宋_GB2312"/>
          <w:b/>
          <w:bCs/>
          <w:sz w:val="32"/>
          <w:szCs w:val="32"/>
          <w:highlight w:val="none"/>
        </w:rPr>
        <w:t>经营支出：</w:t>
      </w:r>
      <w:r>
        <w:rPr>
          <w:rFonts w:hint="eastAsia" w:ascii="仿宋_GB2312" w:eastAsia="仿宋_GB2312"/>
          <w:sz w:val="32"/>
          <w:szCs w:val="32"/>
          <w:highlight w:val="none"/>
        </w:rPr>
        <w:t>指事业单位在专业业务活动及其辅助活动之外开展非独立核算经营活动发生的支出。</w:t>
      </w:r>
    </w:p>
    <w:p w14:paraId="274923D8">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十二、</w:t>
      </w:r>
      <w:r>
        <w:rPr>
          <w:rFonts w:hint="eastAsia" w:ascii="仿宋_GB2312" w:eastAsia="仿宋_GB2312"/>
          <w:b/>
          <w:bCs/>
          <w:sz w:val="32"/>
          <w:szCs w:val="32"/>
          <w:highlight w:val="none"/>
        </w:rPr>
        <w:t>对附属单位补助支出：</w:t>
      </w:r>
      <w:r>
        <w:rPr>
          <w:rFonts w:hint="eastAsia" w:ascii="仿宋_GB2312" w:eastAsia="仿宋_GB2312"/>
          <w:sz w:val="32"/>
          <w:szCs w:val="32"/>
          <w:highlight w:val="none"/>
        </w:rPr>
        <w:t>指事业单位发生的用非财政预算资金对附属单位的补助支出。</w:t>
      </w:r>
    </w:p>
    <w:p w14:paraId="2114E7B0">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both"/>
        <w:textAlignment w:val="auto"/>
        <w:rPr>
          <w:rFonts w:hint="eastAsia" w:ascii="仿宋_GB2312" w:eastAsia="仿宋_GB2312"/>
          <w:sz w:val="32"/>
          <w:szCs w:val="32"/>
          <w:highlight w:val="none"/>
          <w:lang w:eastAsia="zh-CN"/>
        </w:rPr>
      </w:pPr>
      <w:r>
        <w:rPr>
          <w:rFonts w:hint="eastAsia" w:ascii="仿宋_GB2312" w:eastAsia="仿宋_GB2312"/>
          <w:b/>
          <w:bCs/>
          <w:sz w:val="32"/>
          <w:szCs w:val="32"/>
          <w:highlight w:val="none"/>
          <w:lang w:val="en-US" w:eastAsia="zh-CN"/>
        </w:rPr>
        <w:t>十三、</w:t>
      </w:r>
      <w:r>
        <w:rPr>
          <w:rFonts w:hint="eastAsia" w:ascii="仿宋_GB2312" w:eastAsia="仿宋_GB2312"/>
          <w:b/>
          <w:bCs/>
          <w:sz w:val="32"/>
          <w:szCs w:val="32"/>
          <w:highlight w:val="none"/>
        </w:rPr>
        <w:t>“三公”经费：</w:t>
      </w:r>
      <w:r>
        <w:rPr>
          <w:rFonts w:hint="eastAsia" w:ascii="仿宋_GB2312" w:eastAsia="仿宋_GB2312"/>
          <w:sz w:val="32"/>
          <w:szCs w:val="32"/>
          <w:highlight w:val="none"/>
        </w:rPr>
        <w:t>指用财政拨款安排的因公出国（境）费、公务用车购置及运行费和公务接待费。其中，因公出国（境）费反映单位公务出国（境）的</w:t>
      </w:r>
      <w:r>
        <w:rPr>
          <w:rFonts w:hint="eastAsia" w:ascii="仿宋_GB2312" w:eastAsia="仿宋_GB2312"/>
          <w:sz w:val="32"/>
          <w:szCs w:val="32"/>
          <w:highlight w:val="none"/>
          <w:lang w:eastAsia="zh-CN"/>
        </w:rPr>
        <w:t>国际旅费、国外城市间交通费、</w:t>
      </w:r>
      <w:r>
        <w:rPr>
          <w:rFonts w:hint="eastAsia" w:ascii="仿宋_GB2312" w:eastAsia="仿宋_GB2312"/>
          <w:sz w:val="32"/>
          <w:szCs w:val="32"/>
          <w:highlight w:val="none"/>
        </w:rPr>
        <w:t>住宿费、伙食费、培训费、</w:t>
      </w:r>
      <w:r>
        <w:rPr>
          <w:rFonts w:hint="eastAsia" w:ascii="仿宋_GB2312" w:eastAsia="仿宋_GB2312"/>
          <w:sz w:val="32"/>
          <w:szCs w:val="32"/>
          <w:highlight w:val="none"/>
          <w:lang w:eastAsia="zh-CN"/>
        </w:rPr>
        <w:t>公</w:t>
      </w:r>
      <w:r>
        <w:rPr>
          <w:rFonts w:hint="eastAsia" w:ascii="仿宋_GB2312" w:eastAsia="仿宋_GB2312"/>
          <w:sz w:val="32"/>
          <w:szCs w:val="32"/>
          <w:highlight w:val="none"/>
        </w:rPr>
        <w:t>杂费等支出；公务用车购置</w:t>
      </w:r>
      <w:r>
        <w:rPr>
          <w:rFonts w:hint="eastAsia" w:ascii="仿宋_GB2312" w:eastAsia="仿宋_GB2312"/>
          <w:sz w:val="32"/>
          <w:szCs w:val="32"/>
          <w:highlight w:val="none"/>
          <w:lang w:eastAsia="zh-CN"/>
        </w:rPr>
        <w:t>反映公务用车购置支出（含车辆购置税、牌照费）；</w:t>
      </w:r>
      <w:r>
        <w:rPr>
          <w:rFonts w:hint="eastAsia" w:ascii="仿宋_GB2312" w:eastAsia="仿宋_GB2312"/>
          <w:sz w:val="32"/>
          <w:szCs w:val="32"/>
          <w:highlight w:val="none"/>
        </w:rPr>
        <w:t>公务用车运行</w:t>
      </w:r>
      <w:r>
        <w:rPr>
          <w:rFonts w:hint="eastAsia" w:ascii="仿宋_GB2312" w:eastAsia="仿宋_GB2312"/>
          <w:sz w:val="32"/>
          <w:szCs w:val="32"/>
          <w:highlight w:val="none"/>
          <w:lang w:eastAsia="zh-CN"/>
        </w:rPr>
        <w:t>维护</w:t>
      </w:r>
      <w:r>
        <w:rPr>
          <w:rFonts w:hint="eastAsia" w:ascii="仿宋_GB2312" w:eastAsia="仿宋_GB2312"/>
          <w:sz w:val="32"/>
          <w:szCs w:val="32"/>
          <w:highlight w:val="none"/>
        </w:rPr>
        <w:t>费反映</w:t>
      </w:r>
      <w:r>
        <w:rPr>
          <w:rFonts w:hint="eastAsia" w:ascii="仿宋_GB2312" w:eastAsia="仿宋_GB2312"/>
          <w:sz w:val="32"/>
          <w:szCs w:val="32"/>
          <w:highlight w:val="none"/>
          <w:lang w:eastAsia="zh-CN"/>
        </w:rPr>
        <w:t>单位按规定保留的公务用车燃料费、维修费、</w:t>
      </w:r>
      <w:r>
        <w:rPr>
          <w:rFonts w:hint="eastAsia" w:ascii="仿宋_GB2312" w:eastAsia="仿宋_GB2312"/>
          <w:sz w:val="32"/>
          <w:szCs w:val="32"/>
          <w:highlight w:val="none"/>
        </w:rPr>
        <w:t>过路过桥费、保险费、安全奖励费用等支出</w:t>
      </w:r>
      <w:r>
        <w:rPr>
          <w:rFonts w:hint="eastAsia" w:ascii="仿宋_GB2312" w:eastAsia="仿宋_GB2312"/>
          <w:sz w:val="32"/>
          <w:szCs w:val="32"/>
          <w:highlight w:val="none"/>
          <w:lang w:eastAsia="zh-CN"/>
        </w:rPr>
        <w:t>；</w:t>
      </w:r>
      <w:r>
        <w:rPr>
          <w:rFonts w:hint="eastAsia" w:ascii="仿宋_GB2312" w:eastAsia="仿宋_GB2312"/>
          <w:sz w:val="32"/>
          <w:szCs w:val="32"/>
          <w:highlight w:val="none"/>
        </w:rPr>
        <w:t>公务接待费反映单位按规定开支的各类公务接待（含外宾接待）</w:t>
      </w:r>
      <w:r>
        <w:rPr>
          <w:rFonts w:hint="eastAsia" w:ascii="仿宋_GB2312" w:eastAsia="仿宋_GB2312"/>
          <w:sz w:val="32"/>
          <w:szCs w:val="32"/>
          <w:highlight w:val="none"/>
          <w:lang w:eastAsia="zh-CN"/>
        </w:rPr>
        <w:t>费用</w:t>
      </w:r>
      <w:r>
        <w:rPr>
          <w:rFonts w:hint="eastAsia" w:ascii="仿宋_GB2312" w:eastAsia="仿宋_GB2312"/>
          <w:sz w:val="32"/>
          <w:szCs w:val="32"/>
          <w:highlight w:val="none"/>
        </w:rPr>
        <w:t>。</w:t>
      </w:r>
    </w:p>
    <w:p w14:paraId="6FDC76B7">
      <w:pPr>
        <w:keepNext w:val="0"/>
        <w:keepLines w:val="0"/>
        <w:pageBreakBefore w:val="0"/>
        <w:widowControl w:val="0"/>
        <w:kinsoku/>
        <w:wordWrap/>
        <w:overflowPunct/>
        <w:topLinePunct w:val="0"/>
        <w:bidi w:val="0"/>
        <w:adjustRightInd/>
        <w:snapToGrid/>
        <w:spacing w:line="240" w:lineRule="auto"/>
        <w:ind w:firstLine="643" w:firstLineChars="200"/>
        <w:jc w:val="both"/>
        <w:textAlignment w:val="auto"/>
        <w:rPr>
          <w:rFonts w:hint="eastAsia" w:ascii="仿宋_GB2312" w:eastAsia="仿宋_GB2312"/>
          <w:sz w:val="32"/>
          <w:szCs w:val="32"/>
          <w:highlight w:val="none"/>
        </w:rPr>
      </w:pPr>
      <w:r>
        <w:rPr>
          <w:rFonts w:hint="eastAsia" w:ascii="仿宋_GB2312" w:eastAsia="仿宋_GB2312"/>
          <w:b/>
          <w:bCs/>
          <w:sz w:val="32"/>
          <w:szCs w:val="32"/>
          <w:highlight w:val="none"/>
          <w:lang w:val="en-US" w:eastAsia="zh-CN"/>
        </w:rPr>
        <w:t>十四、</w:t>
      </w:r>
      <w:r>
        <w:rPr>
          <w:rFonts w:hint="eastAsia" w:ascii="仿宋_GB2312" w:eastAsia="仿宋_GB2312"/>
          <w:b/>
          <w:bCs/>
          <w:sz w:val="32"/>
          <w:szCs w:val="32"/>
          <w:highlight w:val="none"/>
        </w:rPr>
        <w:t>机关运行经费：</w:t>
      </w:r>
      <w:r>
        <w:rPr>
          <w:rFonts w:hint="eastAsia" w:ascii="仿宋_GB2312" w:eastAsia="仿宋_GB2312"/>
          <w:sz w:val="32"/>
          <w:szCs w:val="32"/>
          <w:highlight w:val="none"/>
        </w:rPr>
        <w:t>行政单位和参照公务员法管理的事业单位财政拨款基本支出中的公用经费支出。</w:t>
      </w:r>
    </w:p>
    <w:p w14:paraId="64038492">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r>
        <w:rPr>
          <w:rFonts w:hint="eastAsia" w:ascii="仿宋_GB2312" w:eastAsia="仿宋_GB2312"/>
          <w:sz w:val="32"/>
          <w:szCs w:val="32"/>
          <w:highlight w:val="none"/>
        </w:rPr>
        <w:br w:type="page"/>
      </w:r>
      <w:bookmarkStart w:id="41" w:name="_Toc25218"/>
      <w:r>
        <w:rPr>
          <w:rFonts w:hint="eastAsia" w:ascii="黑体" w:hAnsi="黑体" w:eastAsia="黑体"/>
          <w:sz w:val="32"/>
          <w:szCs w:val="32"/>
          <w:highlight w:val="none"/>
        </w:rPr>
        <w:t>第四部分 部门决算报表（见</w:t>
      </w:r>
      <w:r>
        <w:rPr>
          <w:rFonts w:hint="eastAsia" w:ascii="黑体" w:hAnsi="黑体" w:eastAsia="黑体"/>
          <w:sz w:val="32"/>
          <w:szCs w:val="32"/>
          <w:highlight w:val="none"/>
          <w:lang w:val="en-US" w:eastAsia="zh-CN"/>
        </w:rPr>
        <w:t>附件1</w:t>
      </w:r>
      <w:r>
        <w:rPr>
          <w:rFonts w:hint="eastAsia" w:ascii="黑体" w:hAnsi="黑体" w:eastAsia="黑体"/>
          <w:sz w:val="32"/>
          <w:szCs w:val="32"/>
          <w:highlight w:val="none"/>
        </w:rPr>
        <w:t>）</w:t>
      </w:r>
      <w:bookmarkEnd w:id="41"/>
    </w:p>
    <w:p w14:paraId="2F33532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hAnsi="仿宋_GB2312" w:eastAsia="仿宋_GB2312" w:cs="仿宋_GB2312"/>
          <w:bCs/>
          <w:kern w:val="0"/>
          <w:sz w:val="32"/>
          <w:szCs w:val="32"/>
          <w:highlight w:val="none"/>
        </w:rPr>
      </w:pPr>
      <w:bookmarkStart w:id="42" w:name="_Toc6062"/>
      <w:bookmarkStart w:id="43" w:name="_Toc25722"/>
      <w:r>
        <w:rPr>
          <w:rFonts w:hint="eastAsia" w:ascii="仿宋_GB2312" w:hAnsi="仿宋_GB2312" w:eastAsia="仿宋_GB2312" w:cs="仿宋_GB2312"/>
          <w:bCs/>
          <w:kern w:val="0"/>
          <w:sz w:val="32"/>
          <w:szCs w:val="32"/>
          <w:highlight w:val="none"/>
        </w:rPr>
        <w:t>一、《收入支出决算总表》</w:t>
      </w:r>
      <w:bookmarkEnd w:id="42"/>
      <w:bookmarkEnd w:id="43"/>
    </w:p>
    <w:p w14:paraId="1E69025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hAnsi="仿宋_GB2312" w:eastAsia="仿宋_GB2312" w:cs="仿宋_GB2312"/>
          <w:bCs/>
          <w:kern w:val="0"/>
          <w:sz w:val="32"/>
          <w:szCs w:val="32"/>
          <w:highlight w:val="none"/>
        </w:rPr>
      </w:pPr>
      <w:bookmarkStart w:id="44" w:name="_Toc11095"/>
      <w:bookmarkStart w:id="45" w:name="_Toc30364"/>
      <w:r>
        <w:rPr>
          <w:rFonts w:hint="eastAsia" w:ascii="仿宋_GB2312" w:hAnsi="仿宋_GB2312" w:eastAsia="仿宋_GB2312" w:cs="仿宋_GB2312"/>
          <w:bCs/>
          <w:kern w:val="0"/>
          <w:sz w:val="32"/>
          <w:szCs w:val="32"/>
          <w:highlight w:val="none"/>
        </w:rPr>
        <w:t>二、《收入决算表》</w:t>
      </w:r>
      <w:bookmarkEnd w:id="44"/>
      <w:bookmarkEnd w:id="45"/>
    </w:p>
    <w:p w14:paraId="4D61D3A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hAnsi="仿宋_GB2312" w:eastAsia="仿宋_GB2312" w:cs="仿宋_GB2312"/>
          <w:bCs/>
          <w:kern w:val="0"/>
          <w:sz w:val="32"/>
          <w:szCs w:val="32"/>
          <w:highlight w:val="none"/>
        </w:rPr>
      </w:pPr>
      <w:bookmarkStart w:id="46" w:name="_Toc25511"/>
      <w:bookmarkStart w:id="47" w:name="_Toc21304"/>
      <w:r>
        <w:rPr>
          <w:rFonts w:hint="eastAsia" w:ascii="仿宋_GB2312" w:hAnsi="仿宋_GB2312" w:eastAsia="仿宋_GB2312" w:cs="仿宋_GB2312"/>
          <w:bCs/>
          <w:kern w:val="0"/>
          <w:sz w:val="32"/>
          <w:szCs w:val="32"/>
          <w:highlight w:val="none"/>
        </w:rPr>
        <w:t>三、《支出决算表》</w:t>
      </w:r>
      <w:bookmarkEnd w:id="46"/>
      <w:bookmarkEnd w:id="47"/>
    </w:p>
    <w:p w14:paraId="5D506EE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hAnsi="仿宋_GB2312" w:eastAsia="仿宋_GB2312" w:cs="仿宋_GB2312"/>
          <w:bCs/>
          <w:kern w:val="0"/>
          <w:sz w:val="32"/>
          <w:szCs w:val="32"/>
          <w:highlight w:val="none"/>
        </w:rPr>
      </w:pPr>
      <w:bookmarkStart w:id="48" w:name="_Toc14238"/>
      <w:bookmarkStart w:id="49" w:name="_Toc31346"/>
      <w:r>
        <w:rPr>
          <w:rFonts w:hint="eastAsia" w:ascii="仿宋_GB2312" w:hAnsi="仿宋_GB2312" w:eastAsia="仿宋_GB2312" w:cs="仿宋_GB2312"/>
          <w:bCs/>
          <w:kern w:val="0"/>
          <w:sz w:val="32"/>
          <w:szCs w:val="32"/>
          <w:highlight w:val="none"/>
        </w:rPr>
        <w:t>四、《财政拨款收入支出决算总表》</w:t>
      </w:r>
      <w:bookmarkEnd w:id="48"/>
      <w:bookmarkEnd w:id="49"/>
    </w:p>
    <w:p w14:paraId="6D83955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hAnsi="仿宋_GB2312" w:eastAsia="仿宋_GB2312" w:cs="仿宋_GB2312"/>
          <w:bCs/>
          <w:kern w:val="0"/>
          <w:sz w:val="32"/>
          <w:szCs w:val="32"/>
          <w:highlight w:val="none"/>
        </w:rPr>
      </w:pPr>
      <w:bookmarkStart w:id="50" w:name="_Toc910"/>
      <w:bookmarkStart w:id="51" w:name="_Toc10347"/>
      <w:r>
        <w:rPr>
          <w:rFonts w:hint="eastAsia" w:ascii="仿宋_GB2312" w:hAnsi="仿宋_GB2312" w:eastAsia="仿宋_GB2312" w:cs="仿宋_GB2312"/>
          <w:bCs/>
          <w:kern w:val="0"/>
          <w:sz w:val="32"/>
          <w:szCs w:val="32"/>
          <w:highlight w:val="none"/>
        </w:rPr>
        <w:t>五、《一般公共预算财政拨款支出决算表》</w:t>
      </w:r>
      <w:bookmarkEnd w:id="50"/>
      <w:bookmarkEnd w:id="51"/>
    </w:p>
    <w:p w14:paraId="01BDF73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hAnsi="仿宋_GB2312" w:eastAsia="仿宋_GB2312" w:cs="仿宋_GB2312"/>
          <w:bCs/>
          <w:kern w:val="0"/>
          <w:sz w:val="32"/>
          <w:szCs w:val="32"/>
          <w:highlight w:val="none"/>
        </w:rPr>
      </w:pPr>
      <w:bookmarkStart w:id="52" w:name="_Toc5626"/>
      <w:bookmarkStart w:id="53" w:name="_Toc6578"/>
      <w:r>
        <w:rPr>
          <w:rFonts w:hint="eastAsia" w:ascii="仿宋_GB2312" w:hAnsi="仿宋_GB2312" w:eastAsia="仿宋_GB2312" w:cs="仿宋_GB2312"/>
          <w:bCs/>
          <w:kern w:val="0"/>
          <w:sz w:val="32"/>
          <w:szCs w:val="32"/>
          <w:highlight w:val="none"/>
        </w:rPr>
        <w:t>六、《一般公共预算财政拨款基本支出决算表》</w:t>
      </w:r>
      <w:bookmarkEnd w:id="52"/>
      <w:bookmarkEnd w:id="53"/>
    </w:p>
    <w:p w14:paraId="4C88B00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hAnsi="仿宋_GB2312" w:eastAsia="仿宋_GB2312" w:cs="仿宋_GB2312"/>
          <w:bCs/>
          <w:kern w:val="0"/>
          <w:sz w:val="32"/>
          <w:szCs w:val="32"/>
          <w:highlight w:val="none"/>
        </w:rPr>
      </w:pPr>
      <w:bookmarkStart w:id="54" w:name="_Toc5453"/>
      <w:bookmarkStart w:id="55" w:name="_Toc13584"/>
      <w:r>
        <w:rPr>
          <w:rFonts w:hint="eastAsia" w:ascii="仿宋_GB2312" w:hAnsi="仿宋_GB2312" w:eastAsia="仿宋_GB2312" w:cs="仿宋_GB2312"/>
          <w:bCs/>
          <w:kern w:val="0"/>
          <w:sz w:val="32"/>
          <w:szCs w:val="32"/>
          <w:highlight w:val="none"/>
        </w:rPr>
        <w:t>七、《政府性基金预算财政拨款收入支出决算表》</w:t>
      </w:r>
      <w:bookmarkEnd w:id="54"/>
      <w:bookmarkEnd w:id="55"/>
    </w:p>
    <w:p w14:paraId="662B6C4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hAnsi="仿宋_GB2312" w:eastAsia="仿宋_GB2312" w:cs="仿宋_GB2312"/>
          <w:bCs/>
          <w:kern w:val="0"/>
          <w:sz w:val="32"/>
          <w:szCs w:val="32"/>
          <w:highlight w:val="none"/>
        </w:rPr>
      </w:pPr>
      <w:bookmarkStart w:id="56" w:name="_Toc13058"/>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bookmarkEnd w:id="56"/>
    </w:p>
    <w:p w14:paraId="31BD281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hAnsi="仿宋_GB2312" w:eastAsia="仿宋_GB2312" w:cs="仿宋_GB2312"/>
          <w:bCs/>
          <w:kern w:val="0"/>
          <w:sz w:val="32"/>
          <w:szCs w:val="32"/>
          <w:highlight w:val="none"/>
        </w:rPr>
      </w:pPr>
      <w:bookmarkStart w:id="57" w:name="_Toc29106"/>
      <w:bookmarkStart w:id="58" w:name="_Toc32663"/>
      <w:bookmarkStart w:id="59" w:name="_Toc19637"/>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bookmarkEnd w:id="57"/>
      <w:bookmarkEnd w:id="58"/>
      <w:bookmarkEnd w:id="59"/>
    </w:p>
    <w:p w14:paraId="0756A95D">
      <w:pPr>
        <w:keepNext w:val="0"/>
        <w:keepLines w:val="0"/>
        <w:pageBreakBefore w:val="0"/>
        <w:widowControl w:val="0"/>
        <w:kinsoku/>
        <w:wordWrap/>
        <w:overflowPunct/>
        <w:topLinePunct w:val="0"/>
        <w:autoSpaceDE/>
        <w:autoSpaceDN/>
        <w:bidi w:val="0"/>
        <w:adjustRightInd/>
        <w:snapToGrid/>
        <w:spacing w:line="240" w:lineRule="auto"/>
        <w:ind w:firstLine="1920" w:firstLineChars="600"/>
        <w:jc w:val="both"/>
        <w:textAlignment w:val="auto"/>
        <w:outlineLvl w:val="1"/>
        <w:rPr>
          <w:rFonts w:hint="eastAsia" w:ascii="黑体" w:hAnsi="黑体" w:eastAsia="黑体"/>
          <w:sz w:val="32"/>
          <w:szCs w:val="32"/>
          <w:highlight w:val="none"/>
        </w:rPr>
      </w:pPr>
    </w:p>
    <w:p w14:paraId="2AF1D719">
      <w:pPr>
        <w:keepNext w:val="0"/>
        <w:keepLines w:val="0"/>
        <w:pageBreakBefore w:val="0"/>
        <w:widowControl w:val="0"/>
        <w:kinsoku/>
        <w:wordWrap/>
        <w:overflowPunct/>
        <w:topLinePunct w:val="0"/>
        <w:autoSpaceDE/>
        <w:autoSpaceDN/>
        <w:bidi w:val="0"/>
        <w:adjustRightInd/>
        <w:snapToGrid/>
        <w:spacing w:line="240" w:lineRule="auto"/>
        <w:ind w:firstLine="1920" w:firstLineChars="600"/>
        <w:jc w:val="both"/>
        <w:textAlignment w:val="auto"/>
        <w:outlineLvl w:val="1"/>
        <w:rPr>
          <w:rFonts w:hint="eastAsia" w:ascii="仿宋_GB2312" w:hAnsi="仿宋_GB2312" w:eastAsia="仿宋_GB2312" w:cs="仿宋_GB2312"/>
          <w:bCs/>
          <w:kern w:val="0"/>
          <w:sz w:val="32"/>
          <w:szCs w:val="32"/>
          <w:highlight w:val="none"/>
          <w:lang w:eastAsia="zh-CN"/>
        </w:rPr>
      </w:pPr>
      <w:r>
        <w:rPr>
          <w:rFonts w:hint="eastAsia" w:ascii="黑体" w:hAnsi="黑体" w:eastAsia="黑体"/>
          <w:sz w:val="32"/>
          <w:szCs w:val="32"/>
          <w:highlight w:val="none"/>
        </w:rPr>
        <w:t>第</w:t>
      </w:r>
      <w:r>
        <w:rPr>
          <w:rFonts w:hint="eastAsia" w:ascii="黑体" w:hAnsi="黑体" w:eastAsia="黑体"/>
          <w:sz w:val="32"/>
          <w:szCs w:val="32"/>
          <w:highlight w:val="none"/>
          <w:lang w:val="en-US" w:eastAsia="zh-CN"/>
        </w:rPr>
        <w:t>五</w:t>
      </w:r>
      <w:r>
        <w:rPr>
          <w:rFonts w:hint="eastAsia" w:ascii="黑体" w:hAnsi="黑体" w:eastAsia="黑体"/>
          <w:sz w:val="32"/>
          <w:szCs w:val="32"/>
          <w:highlight w:val="none"/>
        </w:rPr>
        <w:t xml:space="preserve">部分 </w:t>
      </w:r>
      <w:r>
        <w:rPr>
          <w:rFonts w:hint="eastAsia" w:ascii="黑体" w:hAnsi="黑体" w:eastAsia="黑体"/>
          <w:sz w:val="32"/>
          <w:szCs w:val="32"/>
          <w:highlight w:val="none"/>
          <w:lang w:val="en-US" w:eastAsia="zh-CN"/>
        </w:rPr>
        <w:t>项目绩效自评</w:t>
      </w:r>
      <w:r>
        <w:rPr>
          <w:rFonts w:hint="eastAsia" w:ascii="黑体" w:hAnsi="黑体" w:eastAsia="黑体"/>
          <w:sz w:val="32"/>
          <w:szCs w:val="32"/>
          <w:highlight w:val="none"/>
        </w:rPr>
        <w:t>表（见</w:t>
      </w:r>
      <w:r>
        <w:rPr>
          <w:rFonts w:hint="eastAsia" w:ascii="黑体" w:hAnsi="黑体" w:eastAsia="黑体"/>
          <w:sz w:val="32"/>
          <w:szCs w:val="32"/>
          <w:highlight w:val="none"/>
          <w:lang w:val="en-US" w:eastAsia="zh-CN"/>
        </w:rPr>
        <w:t>附件2</w:t>
      </w:r>
      <w:r>
        <w:rPr>
          <w:rFonts w:hint="eastAsia" w:ascii="黑体" w:hAnsi="黑体" w:eastAsia="黑体"/>
          <w:sz w:val="32"/>
          <w:szCs w:val="32"/>
          <w:highlight w:val="none"/>
        </w:rPr>
        <w:t>）</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EFE470D-6D9B-44D6-829F-30F90A00A79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A069F2AB-DAA9-4B44-A8D0-44A2BEC8DC6F}"/>
  </w:font>
  <w:font w:name="方正小标宋_GBK">
    <w:panose1 w:val="03000509000000000000"/>
    <w:charset w:val="86"/>
    <w:family w:val="script"/>
    <w:pitch w:val="default"/>
    <w:sig w:usb0="00000001" w:usb1="080E0000" w:usb2="00000000" w:usb3="00000000" w:csb0="00040000" w:csb1="00000000"/>
    <w:embedRegular r:id="rId3" w:fontKey="{57C3A41A-2101-4473-9D32-FE3F6879A21F}"/>
  </w:font>
  <w:font w:name="仿宋_GB2312">
    <w:panose1 w:val="02010609030101010101"/>
    <w:charset w:val="86"/>
    <w:family w:val="modern"/>
    <w:pitch w:val="default"/>
    <w:sig w:usb0="00000001" w:usb1="080E0000" w:usb2="00000000" w:usb3="00000000" w:csb0="00040000" w:csb1="00000000"/>
    <w:embedRegular r:id="rId4" w:fontKey="{93D974A6-0629-467F-B44F-EE70AFE9DA9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156339">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0AD06F5">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70AD06F5">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F73D26"/>
    <w:rsid w:val="034D4FEF"/>
    <w:rsid w:val="03DE0026"/>
    <w:rsid w:val="043E5B56"/>
    <w:rsid w:val="06792773"/>
    <w:rsid w:val="09A729D8"/>
    <w:rsid w:val="0A7B4867"/>
    <w:rsid w:val="0AC260D6"/>
    <w:rsid w:val="0B8C3ECC"/>
    <w:rsid w:val="0C3613A3"/>
    <w:rsid w:val="0C7227A7"/>
    <w:rsid w:val="0DCA6EF7"/>
    <w:rsid w:val="0E4B1576"/>
    <w:rsid w:val="0EC3241C"/>
    <w:rsid w:val="11E15093"/>
    <w:rsid w:val="120E0809"/>
    <w:rsid w:val="12F15639"/>
    <w:rsid w:val="175A6E3D"/>
    <w:rsid w:val="1875698D"/>
    <w:rsid w:val="19071D6C"/>
    <w:rsid w:val="1961633D"/>
    <w:rsid w:val="19996059"/>
    <w:rsid w:val="1A69031C"/>
    <w:rsid w:val="1C317E4F"/>
    <w:rsid w:val="1C472464"/>
    <w:rsid w:val="1DAF458D"/>
    <w:rsid w:val="1E086ACE"/>
    <w:rsid w:val="1EAA4A5F"/>
    <w:rsid w:val="1F040613"/>
    <w:rsid w:val="1F587A0B"/>
    <w:rsid w:val="2064678E"/>
    <w:rsid w:val="20DD6197"/>
    <w:rsid w:val="21F317F2"/>
    <w:rsid w:val="2241392C"/>
    <w:rsid w:val="228026A7"/>
    <w:rsid w:val="23BC04D2"/>
    <w:rsid w:val="23D07870"/>
    <w:rsid w:val="24C13B34"/>
    <w:rsid w:val="25275618"/>
    <w:rsid w:val="27CF2642"/>
    <w:rsid w:val="282459E2"/>
    <w:rsid w:val="2A053397"/>
    <w:rsid w:val="2A444FB1"/>
    <w:rsid w:val="2A6064E2"/>
    <w:rsid w:val="2BA9200B"/>
    <w:rsid w:val="2D1136DF"/>
    <w:rsid w:val="2DAE0E44"/>
    <w:rsid w:val="2EB57234"/>
    <w:rsid w:val="2FD27414"/>
    <w:rsid w:val="313F1D52"/>
    <w:rsid w:val="318029AB"/>
    <w:rsid w:val="31C63837"/>
    <w:rsid w:val="326F0A17"/>
    <w:rsid w:val="344C5983"/>
    <w:rsid w:val="34623382"/>
    <w:rsid w:val="3914510A"/>
    <w:rsid w:val="39EE1BA0"/>
    <w:rsid w:val="3B1220C9"/>
    <w:rsid w:val="3CED6733"/>
    <w:rsid w:val="3D5275AC"/>
    <w:rsid w:val="3E1877DF"/>
    <w:rsid w:val="3EA7725F"/>
    <w:rsid w:val="40834692"/>
    <w:rsid w:val="423A32B2"/>
    <w:rsid w:val="42BB70A3"/>
    <w:rsid w:val="44EF0022"/>
    <w:rsid w:val="464B7E04"/>
    <w:rsid w:val="46901EEE"/>
    <w:rsid w:val="469C74D2"/>
    <w:rsid w:val="47445515"/>
    <w:rsid w:val="48E21116"/>
    <w:rsid w:val="49C97D5C"/>
    <w:rsid w:val="4AE426AE"/>
    <w:rsid w:val="4B4C0111"/>
    <w:rsid w:val="4BB46D99"/>
    <w:rsid w:val="4D730311"/>
    <w:rsid w:val="505A358E"/>
    <w:rsid w:val="50DB5F45"/>
    <w:rsid w:val="52F92565"/>
    <w:rsid w:val="53A5474A"/>
    <w:rsid w:val="55DA564E"/>
    <w:rsid w:val="56DB671F"/>
    <w:rsid w:val="56E07045"/>
    <w:rsid w:val="583059FA"/>
    <w:rsid w:val="587E6212"/>
    <w:rsid w:val="58D10A34"/>
    <w:rsid w:val="59973ABF"/>
    <w:rsid w:val="5A74678C"/>
    <w:rsid w:val="5AFC6609"/>
    <w:rsid w:val="5FA17648"/>
    <w:rsid w:val="613409CB"/>
    <w:rsid w:val="61A46A97"/>
    <w:rsid w:val="62DD7D21"/>
    <w:rsid w:val="65D97752"/>
    <w:rsid w:val="664C500C"/>
    <w:rsid w:val="66B93A58"/>
    <w:rsid w:val="66C84871"/>
    <w:rsid w:val="6773145F"/>
    <w:rsid w:val="67F430E2"/>
    <w:rsid w:val="68DB0208"/>
    <w:rsid w:val="69846A0E"/>
    <w:rsid w:val="69AD798C"/>
    <w:rsid w:val="6B68175F"/>
    <w:rsid w:val="6B8B5C99"/>
    <w:rsid w:val="6D513FF0"/>
    <w:rsid w:val="6DAB5F63"/>
    <w:rsid w:val="6E0F7A08"/>
    <w:rsid w:val="6E801ABC"/>
    <w:rsid w:val="6F745D74"/>
    <w:rsid w:val="6F92269E"/>
    <w:rsid w:val="71473612"/>
    <w:rsid w:val="718F7F65"/>
    <w:rsid w:val="722C39D6"/>
    <w:rsid w:val="73423603"/>
    <w:rsid w:val="73DE4104"/>
    <w:rsid w:val="73FB6630"/>
    <w:rsid w:val="74CE04EC"/>
    <w:rsid w:val="74E76DCD"/>
    <w:rsid w:val="76660D7C"/>
    <w:rsid w:val="76CF72D3"/>
    <w:rsid w:val="77ED6F44"/>
    <w:rsid w:val="786FF2D0"/>
    <w:rsid w:val="78B87A58"/>
    <w:rsid w:val="795A0A34"/>
    <w:rsid w:val="79FB30B5"/>
    <w:rsid w:val="7A0D3BC7"/>
    <w:rsid w:val="7A3A3CDB"/>
    <w:rsid w:val="7DD33FB0"/>
    <w:rsid w:val="7EAC4FE1"/>
    <w:rsid w:val="CFB7C93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Chars="40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5128</Words>
  <Characters>5766</Characters>
  <Lines>0</Lines>
  <Paragraphs>0</Paragraphs>
  <TotalTime>4</TotalTime>
  <ScaleCrop>false</ScaleCrop>
  <LinksUpToDate>false</LinksUpToDate>
  <CharactersWithSpaces>5778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2014-10-30T04:08:00Z</dcterms:created>
  <dc:creator>GXR</dc:creator>
  <cp:lastModifiedBy>WPS_1681373111</cp:lastModifiedBy>
  <cp:lastPrinted>2024-07-23T03:58:00Z</cp:lastPrinted>
  <dcterms:modified xsi:type="dcterms:W3CDTF">2025-10-16T05:17:45Z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449FF73CB6B646CC874E32D31EF125E9_13</vt:lpwstr>
  </property>
  <property fmtid="{D5CDD505-2E9C-101B-9397-08002B2CF9AE}" pid="4" name="KSOTemplateDocerSaveRecord">
    <vt:lpwstr>eyJoZGlkIjoiYWJmNTAxYTA0NTllZTU0OWY5NWY0MWNlMzBjNGU2OTYiLCJ1c2VySWQiOiIxNDg4NDcyMDUyIn0=</vt:lpwstr>
  </property>
</Properties>
</file>