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20" w:lineRule="exact"/>
        <w:rPr>
          <w:rFonts w:ascii="黑体" w:hAnsi="黑体" w:eastAsia="黑体"/>
          <w:sz w:val="32"/>
          <w:szCs w:val="32"/>
        </w:rPr>
      </w:pPr>
      <w:r>
        <w:rPr>
          <w:rFonts w:ascii="黑体" w:hAnsi="黑体" w:eastAsia="黑体" w:hint="eastAsia"/>
          <w:sz w:val="32"/>
          <w:szCs w:val="32"/>
        </w:rPr>
        <w:t>附件：</w:t>
      </w:r>
      <w:r>
        <w:rPr>
          <w:rFonts w:ascii="黑体" w:hAnsi="黑体" w:eastAsia="黑体"/>
          <w:sz w:val="32"/>
          <w:szCs w:val="32"/>
        </w:rPr>
      </w:r>
    </w:p>
    <w:p>
      <w:pPr>
        <w:spacing w:line="520" w:lineRule="exact"/>
        <w:jc w:val="center"/>
        <w:rPr>
          <w:rFonts w:ascii="方正小标宋_GBK" w:hAnsi="方正小标宋_GBK" w:eastAsia="方正小标宋_GBK"/>
          <w:sz w:val="44"/>
          <w:szCs w:val="44"/>
        </w:rPr>
      </w:pPr>
      <w:r>
        <w:rPr>
          <w:rFonts w:ascii="方正小标宋_GBK" w:hAnsi="方正小标宋_GBK" w:eastAsia="方正小标宋_GBK"/>
          <w:sz w:val="44"/>
          <w:szCs w:val="44"/>
        </w:rPr>
      </w:r>
    </w:p>
    <w:p>
      <w:pPr>
        <w:spacing w:line="520" w:lineRule="exact"/>
        <w:jc w:val="center"/>
        <w:rPr>
          <w:rFonts w:ascii="方正小标宋_GBK" w:hAnsi="方正小标宋_GBK" w:eastAsia="方正小标宋_GBK"/>
          <w:sz w:val="44"/>
          <w:szCs w:val="44"/>
        </w:rPr>
      </w:pPr>
      <w:r>
        <w:rPr>
          <w:rFonts w:ascii="方正小标宋_GBK" w:hAnsi="方正小标宋_GBK" w:eastAsia="方正小标宋_GBK"/>
          <w:sz w:val="44"/>
          <w:szCs w:val="44"/>
        </w:rPr>
      </w:r>
    </w:p>
    <w:p>
      <w:pPr>
        <w:spacing w:line="520" w:lineRule="exact"/>
        <w:jc w:val="center"/>
        <w:rPr>
          <w:rFonts w:ascii="方正小标宋_GBK" w:hAnsi="方正小标宋_GBK" w:eastAsia="方正小标宋_GBK"/>
          <w:sz w:val="44"/>
          <w:szCs w:val="44"/>
        </w:rPr>
      </w:pPr>
      <w:r>
        <w:rPr>
          <w:rFonts w:ascii="方正小标宋_GBK" w:hAnsi="方正小标宋_GBK" w:eastAsia="方正小标宋_GBK"/>
          <w:sz w:val="44"/>
          <w:szCs w:val="44"/>
        </w:rPr>
      </w:r>
    </w:p>
    <w:p>
      <w:pPr>
        <w:spacing w:line="520" w:lineRule="exact"/>
        <w:jc w:val="center"/>
        <w:rPr>
          <w:rFonts w:ascii="方正小标宋_GBK" w:hAnsi="方正小标宋_GBK" w:eastAsia="方正小标宋_GBK"/>
          <w:sz w:val="44"/>
          <w:szCs w:val="44"/>
        </w:rPr>
      </w:pPr>
      <w:r>
        <w:rPr>
          <w:rFonts w:ascii="方正小标宋_GBK" w:hAnsi="方正小标宋_GBK" w:eastAsia="方正小标宋_GBK"/>
          <w:sz w:val="44"/>
          <w:szCs w:val="44"/>
        </w:rPr>
      </w:r>
    </w:p>
    <w:p>
      <w:pPr>
        <w:spacing w:line="520" w:lineRule="exact"/>
        <w:jc w:val="center"/>
        <w:rPr>
          <w:rFonts w:ascii="方正小标宋_GBK" w:hAnsi="方正小标宋_GBK" w:eastAsia="方正小标宋_GBK"/>
          <w:sz w:val="44"/>
          <w:szCs w:val="44"/>
        </w:rPr>
      </w:pPr>
      <w:r>
        <w:rPr>
          <w:rFonts w:ascii="方正小标宋_GBK" w:hAnsi="方正小标宋_GBK" w:eastAsia="方正小标宋_GBK" w:hint="eastAsia"/>
          <w:sz w:val="44"/>
          <w:szCs w:val="44"/>
        </w:rPr>
        <w:t>新疆维吾尔自治区文化和旅游厅</w:t>
      </w:r>
      <w:r>
        <w:rPr>
          <w:rFonts w:ascii="方正小标宋_GBK" w:hAnsi="方正小标宋_GBK" w:eastAsia="方正小标宋_GBK"/>
          <w:sz w:val="44"/>
          <w:szCs w:val="44"/>
        </w:rPr>
      </w:r>
    </w:p>
    <w:p>
      <w:pPr>
        <w:spacing w:line="520" w:lineRule="exact"/>
        <w:jc w:val="center"/>
        <w:rPr>
          <w:rFonts w:ascii="方正小标宋_GBK" w:hAnsi="方正小标宋_GBK" w:eastAsia="方正小标宋_GBK"/>
          <w:sz w:val="44"/>
          <w:szCs w:val="44"/>
        </w:rPr>
      </w:pPr>
      <w:r>
        <w:rPr>
          <w:rFonts w:ascii="方正小标宋_GBK" w:hAnsi="方正小标宋_GBK" w:eastAsia="方正小标宋_GBK" w:hint="eastAsia"/>
          <w:sz w:val="44"/>
          <w:szCs w:val="44"/>
        </w:rPr>
        <w:t>2019年度部门决算公开</w:t>
      </w:r>
      <w:r>
        <w:rPr>
          <w:rFonts w:ascii="方正小标宋_GBK" w:hAnsi="方正小标宋_GBK" w:eastAsia="方正小标宋_GBK"/>
          <w:sz w:val="44"/>
          <w:szCs w:val="44"/>
        </w:rPr>
      </w:r>
      <w:r>
        <w:br w:type="page"/>
      </w:r>
    </w:p>
    <w:p>
      <w:pPr>
        <w:spacing w:line="520" w:lineRule="exact"/>
        <w:jc w:val="center"/>
        <w:rPr>
          <w:rFonts w:ascii="仿宋_GB2312" w:hAnsi="仿宋_GB2312" w:eastAsia="仿宋_GB2312" w:cs="仿宋_GB2312"/>
          <w:bCs/>
          <w:sz w:val="32"/>
          <w:szCs w:val="32"/>
        </w:rPr>
      </w:pPr>
      <w:r>
        <w:rPr>
          <w:rFonts w:ascii="仿宋_GB2312" w:hAnsi="仿宋_GB2312" w:eastAsia="仿宋_GB2312" w:cs="仿宋_GB2312" w:hint="eastAsia"/>
          <w:b/>
          <w:sz w:val="36"/>
          <w:szCs w:val="36"/>
        </w:rPr>
        <w:t>目  录</w:t>
      </w:r>
      <w:r>
        <w:rPr>
          <w:rFonts w:ascii="仿宋_GB2312" w:hAnsi="仿宋_GB2312" w:eastAsia="仿宋_GB2312" w:cs="仿宋_GB2312"/>
          <w:bCs/>
          <w:sz w:val="32"/>
          <w:szCs w:val="32"/>
        </w:rPr>
      </w:r>
      <w:r>
        <w:rPr>
          <w:rFonts w:ascii="仿宋_GB2312" w:hAnsi="仿宋_GB2312" w:eastAsia="仿宋_GB2312" w:cs="仿宋_GB2312"/>
          <w:bCs/>
          <w:sz w:val="32"/>
          <w:szCs w:val="32"/>
        </w:rPr>
        <w:fldChar w:fldCharType="end"/>
      </w:r>
    </w:p>
    <w:p>
      <w:pPr>
        <w:pStyle w:val="1"/>
        <w:spacing w:line="520" w:lineRule="exact"/>
        <w:tabs>
          <w:tab w:val="right" w:pos="8306" w:leader="none"/>
        </w:tabs>
        <w:rPr>
          <w:rFonts w:ascii="仿宋_GB2312" w:hAnsi="仿宋_GB2312" w:eastAsia="仿宋_GB2312" w:cs="仿宋_GB2312"/>
          <w:b/>
          <w:bCs/>
          <w:sz w:val="32"/>
          <w:szCs w:val="32"/>
        </w:rPr>
      </w:pPr>
      <w:r>
        <w:rPr>
          <w:rFonts w:ascii="仿宋_GB2312" w:hAnsi="仿宋_GB2312" w:eastAsia="仿宋_GB2312" w:cs="仿宋_GB2312"/>
          <w:b/>
          <w:bCs/>
          <w:sz w:val="32"/>
          <w:szCs w:val="32"/>
        </w:rPr>
        <w:fldChar w:fldCharType="begin"/>
      </w:r>
      <w:r>
        <w:rPr>
          <w:rFonts w:ascii="仿宋_GB2312" w:hAnsi="仿宋_GB2312" w:eastAsia="仿宋_GB2312" w:cs="仿宋_GB2312"/>
          <w:b/>
          <w:bCs/>
          <w:sz w:val="32"/>
          <w:szCs w:val="32"/>
        </w:rPr>
        <w:instrText xml:space="preserve"> TOC \o </w:instrText>
      </w:r>
      <w:r>
        <w:rPr>
          <w:rFonts w:ascii="仿宋_GB2312" w:hAnsi="仿宋_GB2312" w:eastAsia="仿宋_GB2312" w:cs="仿宋_GB2312"/>
          <w:b/>
          <w:bCs/>
          <w:sz w:val="32"/>
          <w:szCs w:val="32"/>
        </w:rPr>
        <w:fldChar w:fldCharType="separate"/>
      </w:r>
      <w:hyperlink w:anchor="_Toc32314" w:history="1">
        <w:r>
          <w:rPr>
            <w:rFonts w:ascii="仿宋_GB2312" w:hAnsi="仿宋_GB2312" w:eastAsia="仿宋_GB2312" w:cs="仿宋_GB2312" w:hint="eastAsia"/>
            <w:b/>
            <w:bCs/>
            <w:sz w:val="32"/>
            <w:szCs w:val="32"/>
          </w:rPr>
          <w:t>第一部分 部门单位概况</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30567" w:history="1">
        <w:r>
          <w:rPr>
            <w:rFonts w:ascii="仿宋_GB2312" w:hAnsi="仿宋_GB2312" w:eastAsia="仿宋_GB2312" w:cs="仿宋_GB2312" w:hint="eastAsia"/>
            <w:bCs/>
            <w:sz w:val="32"/>
            <w:szCs w:val="32"/>
          </w:rPr>
          <w:t>一、主要职能</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2151" w:history="1">
        <w:r>
          <w:rPr>
            <w:rFonts w:ascii="仿宋_GB2312" w:hAnsi="仿宋_GB2312" w:eastAsia="仿宋_GB2312" w:cs="仿宋_GB2312" w:hint="eastAsia"/>
            <w:bCs/>
            <w:sz w:val="32"/>
            <w:szCs w:val="32"/>
          </w:rPr>
          <w:t>二、机构设置及人员情况</w:t>
        </w:r>
      </w:hyperlink>
    </w:p>
    <w:p>
      <w:pPr>
        <w:pStyle w:val="1"/>
        <w:spacing w:line="520" w:lineRule="exact"/>
        <w:tabs>
          <w:tab w:val="right" w:pos="8306" w:leader="none"/>
        </w:tabs>
        <w:rPr>
          <w:rFonts w:ascii="仿宋_GB2312" w:hAnsi="仿宋_GB2312" w:eastAsia="仿宋_GB2312" w:cs="仿宋_GB2312"/>
          <w:b/>
          <w:bCs/>
          <w:sz w:val="32"/>
          <w:szCs w:val="32"/>
        </w:rPr>
      </w:pPr>
      <w:hyperlink w:anchor="_Toc29374" w:history="1">
        <w:r>
          <w:rPr>
            <w:rFonts w:ascii="仿宋_GB2312" w:hAnsi="仿宋_GB2312" w:eastAsia="仿宋_GB2312" w:cs="仿宋_GB2312" w:hint="eastAsia"/>
            <w:b/>
            <w:bCs/>
            <w:sz w:val="32"/>
            <w:szCs w:val="32"/>
          </w:rPr>
          <w:t>第二部分 部门决算情况说明</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25314" w:history="1">
        <w:r>
          <w:rPr>
            <w:rFonts w:ascii="仿宋_GB2312" w:hAnsi="仿宋_GB2312" w:eastAsia="仿宋_GB2312" w:cs="仿宋_GB2312" w:hint="eastAsia"/>
            <w:bCs/>
            <w:sz w:val="32"/>
            <w:szCs w:val="32"/>
          </w:rPr>
          <w:t>一、收入支出决算总体情况说明</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12142" w:history="1">
        <w:r>
          <w:rPr>
            <w:rFonts w:ascii="仿宋_GB2312" w:hAnsi="仿宋_GB2312" w:eastAsia="仿宋_GB2312" w:cs="仿宋_GB2312" w:hint="eastAsia"/>
            <w:bCs/>
            <w:sz w:val="32"/>
            <w:szCs w:val="32"/>
          </w:rPr>
          <w:t>二、收入决算情况说明</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13201" w:history="1">
        <w:r>
          <w:rPr>
            <w:rFonts w:ascii="仿宋_GB2312" w:hAnsi="仿宋_GB2312" w:eastAsia="仿宋_GB2312" w:cs="仿宋_GB2312" w:hint="eastAsia"/>
            <w:bCs/>
            <w:sz w:val="32"/>
            <w:szCs w:val="32"/>
          </w:rPr>
          <w:t>三、支出决算情况说明</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26564" w:history="1">
        <w:r>
          <w:rPr>
            <w:rFonts w:ascii="仿宋_GB2312" w:hAnsi="仿宋_GB2312" w:eastAsia="仿宋_GB2312" w:cs="仿宋_GB2312" w:hint="eastAsia"/>
            <w:bCs/>
            <w:sz w:val="32"/>
            <w:szCs w:val="32"/>
          </w:rPr>
          <w:t>四、财政拨款收入支出决算总体情况说明</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20360" w:history="1">
        <w:r>
          <w:rPr>
            <w:rFonts w:ascii="仿宋_GB2312" w:hAnsi="仿宋_GB2312" w:eastAsia="仿宋_GB2312" w:cs="仿宋_GB2312" w:hint="eastAsia"/>
            <w:bCs/>
            <w:sz w:val="32"/>
            <w:szCs w:val="32"/>
          </w:rPr>
          <w:t>五、一般公共预算财政拨款支出决算情况说明</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30870" w:history="1">
        <w:r>
          <w:rPr>
            <w:rFonts w:ascii="仿宋_GB2312" w:hAnsi="仿宋_GB2312" w:eastAsia="仿宋_GB2312" w:cs="仿宋_GB2312" w:hint="eastAsia"/>
            <w:bCs/>
            <w:sz w:val="32"/>
            <w:szCs w:val="32"/>
          </w:rPr>
          <w:t>六、一般公共预算财政拨款基本支出决算情况说明</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21518" w:history="1">
        <w:r>
          <w:rPr>
            <w:rFonts w:ascii="仿宋_GB2312" w:hAnsi="仿宋_GB2312" w:eastAsia="仿宋_GB2312" w:cs="仿宋_GB2312" w:hint="eastAsia"/>
            <w:bCs/>
            <w:sz w:val="32"/>
            <w:szCs w:val="32"/>
          </w:rPr>
          <w:t>七、一般公共预算财政拨款“三公”经费支出决算情况说明</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5810" w:history="1">
        <w:r>
          <w:rPr>
            <w:rFonts w:ascii="仿宋_GB2312" w:hAnsi="仿宋_GB2312" w:eastAsia="仿宋_GB2312" w:cs="仿宋_GB2312" w:hint="eastAsia"/>
            <w:bCs/>
            <w:sz w:val="32"/>
            <w:szCs w:val="32"/>
          </w:rPr>
          <w:t>八、政府性基金预算收入支出决算情况说明</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1235" w:history="1">
        <w:r>
          <w:rPr>
            <w:rFonts w:ascii="仿宋_GB2312" w:hAnsi="仿宋_GB2312" w:eastAsia="仿宋_GB2312" w:cs="仿宋_GB2312" w:hint="eastAsia"/>
            <w:bCs/>
            <w:sz w:val="32"/>
            <w:szCs w:val="32"/>
          </w:rPr>
          <w:t>九、其他重要事项的情况说明</w:t>
        </w:r>
      </w:hyperlink>
    </w:p>
    <w:p>
      <w:pPr>
        <w:pStyle w:val="3"/>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14519" w:history="1">
        <w:r>
          <w:rPr>
            <w:rFonts w:ascii="仿宋_GB2312" w:hAnsi="仿宋_GB2312" w:eastAsia="仿宋_GB2312" w:cs="仿宋_GB2312" w:hint="eastAsia"/>
            <w:sz w:val="32"/>
            <w:szCs w:val="32"/>
          </w:rPr>
          <w:t>（一）机关运行经费支出情况</w:t>
        </w:r>
      </w:hyperlink>
    </w:p>
    <w:p>
      <w:pPr>
        <w:pStyle w:val="3"/>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227" w:history="1">
        <w:r>
          <w:rPr>
            <w:rFonts w:ascii="仿宋_GB2312" w:hAnsi="仿宋_GB2312" w:eastAsia="仿宋_GB2312" w:cs="仿宋_GB2312" w:hint="eastAsia"/>
            <w:sz w:val="32"/>
            <w:szCs w:val="32"/>
          </w:rPr>
          <w:t>（二）政府采购情况</w:t>
        </w:r>
      </w:hyperlink>
    </w:p>
    <w:p>
      <w:pPr>
        <w:pStyle w:val="3"/>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8391" w:history="1">
        <w:r>
          <w:rPr>
            <w:rFonts w:ascii="仿宋_GB2312" w:hAnsi="仿宋_GB2312" w:eastAsia="仿宋_GB2312" w:cs="仿宋_GB2312" w:hint="eastAsia"/>
            <w:sz w:val="32"/>
            <w:szCs w:val="32"/>
          </w:rPr>
          <w:t>（三）国有资产占用情况说明</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11283" w:history="1">
        <w:r>
          <w:rPr>
            <w:rFonts w:ascii="仿宋_GB2312" w:hAnsi="仿宋_GB2312" w:eastAsia="仿宋_GB2312" w:cs="仿宋_GB2312" w:hint="eastAsia"/>
            <w:bCs/>
            <w:sz w:val="32"/>
            <w:szCs w:val="32"/>
          </w:rPr>
          <w:t>十、预算绩效的情况说明</w:t>
        </w:r>
      </w:hyperlink>
    </w:p>
    <w:p>
      <w:pPr>
        <w:pStyle w:val="1"/>
        <w:spacing w:line="520" w:lineRule="exact"/>
        <w:tabs>
          <w:tab w:val="right" w:pos="8306" w:leader="none"/>
        </w:tabs>
        <w:rPr>
          <w:rFonts w:ascii="仿宋_GB2312" w:hAnsi="仿宋_GB2312" w:eastAsia="仿宋_GB2312" w:cs="仿宋_GB2312"/>
          <w:b/>
          <w:bCs/>
          <w:sz w:val="32"/>
          <w:szCs w:val="32"/>
        </w:rPr>
      </w:pPr>
      <w:hyperlink w:anchor="_Toc3250" w:history="1">
        <w:r>
          <w:rPr>
            <w:rFonts w:ascii="仿宋_GB2312" w:hAnsi="仿宋_GB2312" w:eastAsia="仿宋_GB2312" w:cs="仿宋_GB2312" w:hint="eastAsia"/>
            <w:b/>
            <w:bCs/>
            <w:sz w:val="32"/>
            <w:szCs w:val="32"/>
          </w:rPr>
          <w:t>第三部分 专业名词解释</w:t>
        </w:r>
      </w:hyperlink>
    </w:p>
    <w:p>
      <w:pPr>
        <w:pStyle w:val="1"/>
        <w:spacing w:line="520" w:lineRule="exact"/>
        <w:tabs>
          <w:tab w:val="right" w:pos="8306" w:leader="none"/>
        </w:tabs>
        <w:rPr>
          <w:rFonts w:ascii="仿宋_GB2312" w:hAnsi="仿宋_GB2312" w:eastAsia="仿宋_GB2312" w:cs="仿宋_GB2312"/>
          <w:b/>
          <w:bCs/>
          <w:sz w:val="32"/>
          <w:szCs w:val="32"/>
        </w:rPr>
      </w:pPr>
      <w:hyperlink w:anchor="_Toc22784" w:history="1">
        <w:r>
          <w:rPr>
            <w:rFonts w:ascii="仿宋_GB2312" w:hAnsi="仿宋_GB2312" w:eastAsia="仿宋_GB2312" w:cs="仿宋_GB2312" w:hint="eastAsia"/>
            <w:b/>
            <w:bCs/>
            <w:sz w:val="32"/>
            <w:szCs w:val="32"/>
          </w:rPr>
          <w:t>第四部分 部门决算报表（见附表）</w:t>
        </w:r>
      </w:hyperlink>
      <w:r>
        <w:rPr>
          <w:rFonts w:ascii="仿宋_GB2312" w:hAnsi="仿宋_GB2312" w:eastAsia="仿宋_GB2312" w:cs="仿宋_GB2312"/>
          <w:b/>
          <w:bCs/>
          <w:sz w:val="32"/>
          <w:szCs w:val="32"/>
        </w:rPr>
        <w:fldChar w:fldCharType="end"/>
      </w:r>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2183" w:history="1">
        <w:r>
          <w:rPr>
            <w:rFonts w:ascii="仿宋_GB2312" w:hAnsi="仿宋_GB2312" w:eastAsia="仿宋_GB2312" w:cs="仿宋_GB2312" w:hint="eastAsia"/>
            <w:bCs/>
            <w:sz w:val="32"/>
            <w:szCs w:val="32"/>
          </w:rPr>
          <w:t>一、《收入支出决算总表》</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24532" w:history="1">
        <w:r>
          <w:rPr>
            <w:rFonts w:ascii="仿宋_GB2312" w:hAnsi="仿宋_GB2312" w:eastAsia="仿宋_GB2312" w:cs="仿宋_GB2312" w:hint="eastAsia"/>
            <w:bCs/>
            <w:sz w:val="32"/>
            <w:szCs w:val="32"/>
          </w:rPr>
          <w:t>二、《收入决算表》</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32434" w:history="1">
        <w:r>
          <w:rPr>
            <w:rFonts w:ascii="仿宋_GB2312" w:hAnsi="仿宋_GB2312" w:eastAsia="仿宋_GB2312" w:cs="仿宋_GB2312" w:hint="eastAsia"/>
            <w:bCs/>
            <w:sz w:val="32"/>
            <w:szCs w:val="32"/>
          </w:rPr>
          <w:t>三、《支出决算表》</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28786" w:history="1">
        <w:r>
          <w:rPr>
            <w:rFonts w:ascii="仿宋_GB2312" w:hAnsi="仿宋_GB2312" w:eastAsia="仿宋_GB2312" w:cs="仿宋_GB2312" w:hint="eastAsia"/>
            <w:bCs/>
            <w:sz w:val="32"/>
            <w:szCs w:val="32"/>
          </w:rPr>
          <w:t>四、《财政拨款收入支出决算总表》</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14869" w:history="1">
        <w:r>
          <w:rPr>
            <w:rFonts w:ascii="仿宋_GB2312" w:hAnsi="仿宋_GB2312" w:eastAsia="仿宋_GB2312" w:cs="仿宋_GB2312" w:hint="eastAsia"/>
            <w:bCs/>
            <w:sz w:val="32"/>
            <w:szCs w:val="32"/>
          </w:rPr>
          <w:t>五、《一般公共预算财政拨款支出决算表》</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8884" w:history="1">
        <w:r>
          <w:rPr>
            <w:rFonts w:ascii="仿宋_GB2312" w:hAnsi="仿宋_GB2312" w:eastAsia="仿宋_GB2312" w:cs="仿宋_GB2312" w:hint="eastAsia"/>
            <w:bCs/>
            <w:sz w:val="32"/>
            <w:szCs w:val="32"/>
          </w:rPr>
          <w:t>六、《一般公共预算财政拨款基本支出决算表》</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29106" w:history="1">
        <w:r>
          <w:rPr>
            <w:rFonts w:ascii="仿宋_GB2312" w:hAnsi="仿宋_GB2312" w:eastAsia="仿宋_GB2312" w:cs="仿宋_GB2312" w:hint="eastAsia"/>
            <w:bCs/>
            <w:sz w:val="32"/>
            <w:szCs w:val="32"/>
          </w:rPr>
          <w:t>七、《一般公共预算财政拨款“三公”经费支出决算表》</w:t>
        </w:r>
      </w:hyperlink>
    </w:p>
    <w:p>
      <w:pPr>
        <w:pStyle w:val="2"/>
        <w:ind w:left="0"/>
        <w:spacing w:line="520" w:lineRule="exact"/>
        <w:tabs>
          <w:tab w:val="right" w:pos="8306" w:leader="none"/>
        </w:tabs>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hyperlink w:anchor="_Toc7643" w:history="1">
        <w:r>
          <w:rPr>
            <w:rFonts w:ascii="仿宋_GB2312" w:hAnsi="仿宋_GB2312" w:eastAsia="仿宋_GB2312" w:cs="仿宋_GB2312" w:hint="eastAsia"/>
            <w:bCs/>
            <w:sz w:val="32"/>
            <w:szCs w:val="32"/>
          </w:rPr>
          <w:t>八、《政府性基金预算财政拨款收入支出决算表》</w:t>
        </w:r>
      </w:hyperlink>
      <w:r>
        <w:br w:type="page"/>
      </w:r>
    </w:p>
    <w:p>
      <w:pPr>
        <w:ind w:firstLine="640"/>
        <w:spacing w:line="520" w:lineRule="exact"/>
        <w:jc w:val="center"/>
        <w:outlineLvl w:val="0"/>
        <w:rPr>
          <w:rFonts w:ascii="黑体" w:hAnsi="黑体" w:eastAsia="黑体"/>
          <w:sz w:val="32"/>
          <w:szCs w:val="32"/>
        </w:rPr>
      </w:pPr>
      <w:r/>
      <w:bookmarkStart w:id="0" w:name="_Toc24028"/>
      <w:bookmarkEnd w:id="0"/>
      <w:r/>
      <w:bookmarkStart w:id="1" w:name="_Toc32314"/>
      <w:bookmarkEnd w:id="1"/>
      <w:r/>
      <w:r>
        <w:rPr>
          <w:rFonts w:ascii="黑体" w:hAnsi="黑体" w:eastAsia="黑体" w:hint="eastAsia"/>
          <w:sz w:val="32"/>
          <w:szCs w:val="32"/>
        </w:rPr>
        <w:t>第一部分 部门单位概况</w:t>
      </w:r>
      <w:r>
        <w:rPr>
          <w:rFonts w:ascii="黑体" w:hAnsi="黑体" w:eastAsia="黑体"/>
          <w:sz w:val="32"/>
          <w:szCs w:val="32"/>
        </w:rPr>
      </w:r>
    </w:p>
    <w:p>
      <w:pPr>
        <w:numPr>
          <w:ilvl w:val="0"/>
          <w:numId w:val="1"/>
        </w:numPr>
        <w:ind w:left="320" w:firstLine="0"/>
        <w:spacing w:line="520" w:lineRule="exact"/>
        <w:jc w:val="left"/>
        <w:widowControl/>
        <w:rPr>
          <w:rFonts w:ascii="黑体" w:hAnsi="黑体" w:eastAsia="黑体" w:cs="黑体"/>
          <w:bCs/>
          <w:sz w:val="32"/>
          <w:szCs w:val="32"/>
        </w:rPr>
      </w:pPr>
      <w:r/>
      <w:bookmarkStart w:id="2" w:name="_Toc31238"/>
      <w:bookmarkEnd w:id="2"/>
      <w:r/>
      <w:bookmarkStart w:id="3" w:name="_Toc2151"/>
      <w:bookmarkEnd w:id="3"/>
      <w:r/>
      <w:r>
        <w:rPr>
          <w:rFonts w:ascii="黑体" w:hAnsi="黑体" w:eastAsia="黑体" w:cs="黑体" w:hint="eastAsia"/>
          <w:bCs/>
          <w:sz w:val="32"/>
          <w:szCs w:val="32"/>
        </w:rPr>
        <w:t>主要职能</w:t>
      </w:r>
      <w:r>
        <w:rPr>
          <w:rFonts w:ascii="黑体" w:hAnsi="黑体" w:eastAsia="黑体" w:cs="黑体"/>
          <w:bCs/>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一）加强党对文化和旅游工作的领导。贯彻落实党和国家文化和旅游工作的方针政策，发展中国特色社会主义文化，实施旅游兴疆战略。牢牢掌握意识形态工作的领导权和主动权，拟订文化和旅游政策措施，起草文化和旅游法规规章草案并组织实施。</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（二）统筹文化和旅游事业、产业振兴发展，拟订自治区文化和旅游发展规划并组织实施，推进文化和旅游创新融合绿色发展，实施“文化和旅游</w:t>
      </w:r>
      <w:r>
        <w:rPr>
          <w:rFonts w:ascii="仿宋_GB2312" w:hAnsi="仿宋_GB2312" w:eastAsia="仿宋_GB2312" w:cs="仿宋_GB2312"/>
          <w:sz w:val="32"/>
          <w:szCs w:val="32"/>
        </w:rPr>
        <w:t>+</w:t>
      </w:r>
      <w:r>
        <w:rPr>
          <w:rFonts w:ascii="仿宋_GB2312" w:hAnsi="仿宋_GB2312" w:eastAsia="仿宋_GB2312" w:cs="仿宋_GB2312" w:hint="eastAsia"/>
          <w:sz w:val="32"/>
          <w:szCs w:val="32"/>
        </w:rPr>
        <w:t>”。落实文化和旅游体制机制改革。</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三）管理自治区重大文化和旅游活动，指导自治区重点文化和旅游设施建设，组织文化和旅游整体形象推广，构建全媒体时代的宣传营销平台和机制。促进文化和旅游产业对外合作和市场推广，拟订旅游市场开发战略并组织实施。统筹文化和旅游景区管理，指导、推进全域旅游。</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（四）指导、管理文艺事业，指导艺术创作生产及艺术研究、评论，扶持坚守中华文化立场、体现社会主义核心价值观、具有导向性代表性示范性的文艺作品，推动各门类艺术、各艺术品种发展。</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（五）负责公共文化事业发展，推进自治区公共文化服务体系建设和旅游公共服务建设，深入实施文化惠民工程，统筹推进基本公共文化服务标准化、均等化。</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（六）指导文化和旅游科技创新发展，推进文化和旅游行业信息化、标准化建设。</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（七）负责非物质文化遗产保护和研究。推动非物质文</w:t>
      </w:r>
      <w:r>
        <w:rPr>
          <w:rFonts w:ascii="仿宋_GB2312" w:hAnsi="仿宋_GB2312" w:eastAsia="仿宋_GB2312" w:cs="仿宋_GB2312" w:hint="eastAsia"/>
          <w:sz w:val="32"/>
          <w:szCs w:val="32"/>
        </w:rPr>
        <w:t>化遗产的保护、传承、普及、弘扬和振兴。</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八）统筹规划文化和旅游产业，组织实施文化和旅游资源普查、挖掘、保护与利用工作，推动文化和旅游产业投融资体系建设，促进文化和旅游产业发展。结合乡村振兴战略，推进文化和旅游扶贫。指导全疆打造“新疆是个好地方”独特品牌和演艺项目开发，构建世界重要旅游目的地。</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（九）指导文化和旅游市场发展，对文化和旅游市场经营进行行业监管，推进文化和旅游行业信用体系建设，依法规范文化和旅游市场。</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（十）负责文化和旅游安全的综合协调与监督管理，指导文化和旅游应急救援工作。</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（十一）指导自治区文化市场综合执法，组织查处全疆性、跨地区文化、旅游、文物、出版、广播电视、电影等市场的违法行为，督查督办大案要案，维护市场秩序。</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（十二</w:t>
      </w:r>
      <w:r>
        <w:rPr>
          <w:rFonts w:ascii="仿宋_GB2312" w:hAnsi="仿宋_GB2312" w:eastAsia="仿宋_GB2312" w:cs="仿宋_GB2312"/>
          <w:sz w:val="32"/>
          <w:szCs w:val="32"/>
        </w:rPr>
        <w:t>)</w:t>
      </w:r>
      <w:r>
        <w:rPr>
          <w:rFonts w:ascii="仿宋_GB2312" w:hAnsi="仿宋_GB2312" w:eastAsia="仿宋_GB2312" w:cs="仿宋_GB2312" w:hint="eastAsia"/>
          <w:sz w:val="32"/>
          <w:szCs w:val="32"/>
        </w:rPr>
        <w:t>指导、管理文化和旅游对外及对港澳台交流、合作、宣传、推广。组织大型文化和旅游对外及对港澳台交流活动，推动中华文化走出去。</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（十三）指导统筹文物工作。负责文物保护管理、抢救维修、考古发掘、科技研究、文物鉴定、文物进出境以及宣传教育等工作。指导博物馆和革命文物工作。依法规范社会文物流通、经销和拍卖活动等工作。</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（十四）管理新疆艺术剧院。</w:t>
      </w:r>
      <w:r>
        <w:rPr>
          <w:rFonts w:ascii="仿宋_GB2312" w:hAnsi="仿宋_GB2312" w:eastAsia="仿宋_GB2312" w:cs="仿宋_GB2312"/>
          <w:sz w:val="32"/>
          <w:szCs w:val="32"/>
        </w:rPr>
      </w:r>
    </w:p>
    <w:p>
      <w:pPr>
        <w:ind w:firstLine="480"/>
        <w:spacing w:line="520" w:lineRule="exact"/>
        <w:rPr>
          <w:rFonts w:ascii="仿宋_GB2312" w:hAnsi="仿宋_GB2312" w:eastAsia="仿宋_GB2312" w:cs="仿宋_GB2312"/>
          <w:sz w:val="32"/>
          <w:szCs w:val="32"/>
        </w:rPr>
      </w:pPr>
      <w:r>
        <w:rPr>
          <w:rFonts w:ascii="仿宋_GB2312" w:hAnsi="仿宋_GB2312" w:eastAsia="仿宋_GB2312" w:cs="仿宋_GB2312" w:hint="eastAsia"/>
          <w:sz w:val="32"/>
          <w:szCs w:val="32"/>
        </w:rPr>
        <w:t>（十五）完成自治区党委、自治区人民政府交办的其他任务。</w:t>
      </w:r>
      <w:r>
        <w:rPr>
          <w:rFonts w:ascii="仿宋_GB2312" w:hAnsi="仿宋_GB2312" w:eastAsia="仿宋_GB2312" w:cs="仿宋_GB2312"/>
          <w:sz w:val="32"/>
          <w:szCs w:val="32"/>
        </w:rPr>
      </w:r>
    </w:p>
    <w:p>
      <w:pPr>
        <w:spacing w:line="520" w:lineRule="exact"/>
        <w:jc w:val="left"/>
        <w:widowControl/>
        <w:rPr>
          <w:rFonts w:ascii="黑体" w:hAnsi="黑体" w:eastAsia="黑体" w:cs="黑体"/>
          <w:bCs/>
          <w:sz w:val="32"/>
          <w:szCs w:val="32"/>
        </w:rPr>
      </w:pPr>
      <w:r>
        <w:rPr>
          <w:rFonts w:ascii="仿宋_GB2312" w:hAnsi="仿宋_GB2312" w:eastAsia="仿宋_GB2312" w:cs="仿宋_GB2312" w:hint="eastAsia"/>
          <w:sz w:val="32"/>
          <w:szCs w:val="32"/>
        </w:rPr>
        <w:t xml:space="preserve">　</w:t>
      </w:r>
      <w:r>
        <w:rPr>
          <w:rFonts w:ascii="黑体" w:hAnsi="黑体" w:eastAsia="黑体" w:cs="黑体"/>
          <w:bCs/>
          <w:sz w:val="32"/>
          <w:szCs w:val="32"/>
        </w:rPr>
        <w:t xml:space="preserve">    </w:t>
      </w:r>
      <w:r>
        <w:rPr>
          <w:rFonts w:ascii="黑体" w:hAnsi="黑体" w:eastAsia="黑体" w:cs="黑体" w:hint="eastAsia"/>
          <w:bCs/>
          <w:sz w:val="32"/>
          <w:szCs w:val="32"/>
        </w:rPr>
        <w:t>二、机构设置及人员情况</w:t>
      </w:r>
      <w:r>
        <w:rPr>
          <w:rFonts w:ascii="黑体" w:hAnsi="黑体" w:eastAsia="黑体" w:cs="黑体"/>
          <w:bCs/>
          <w:sz w:val="32"/>
          <w:szCs w:val="32"/>
        </w:rPr>
      </w:r>
    </w:p>
    <w:p>
      <w:pPr>
        <w:ind w:firstLine="760"/>
        <w:spacing w:before="100" w:line="520" w:lineRule="exact"/>
        <w:jc w:val="left"/>
        <w:rPr>
          <w:rFonts w:ascii="宋体" w:hAnsi="宋体" w:eastAsia="仿宋_GB2312" w:cs="宋体"/>
          <w:sz w:val="32"/>
          <w:szCs w:val="32"/>
        </w:rPr>
      </w:pPr>
      <w:r>
        <w:rPr>
          <w:rFonts w:ascii="宋体" w:hAnsi="宋体" w:eastAsia="仿宋_GB2312" w:cs="宋体" w:hint="eastAsia"/>
          <w:sz w:val="32"/>
          <w:szCs w:val="32"/>
        </w:rPr>
        <w:t>自治区文化和旅游厅（本级）属于行政单位</w:t>
      </w:r>
      <w:r>
        <w:rPr>
          <w:rFonts w:ascii="宋体" w:hAnsi="宋体" w:eastAsia="仿宋_GB2312" w:cs="宋体"/>
          <w:sz w:val="32"/>
          <w:szCs w:val="32"/>
        </w:rPr>
        <w:t>,</w:t>
      </w:r>
      <w:r>
        <w:rPr>
          <w:rFonts w:ascii="宋体" w:hAnsi="宋体" w:eastAsia="仿宋_GB2312" w:cs="宋体" w:hint="eastAsia"/>
          <w:sz w:val="32"/>
          <w:szCs w:val="32"/>
        </w:rPr>
        <w:t>下设</w:t>
      </w:r>
      <w:r>
        <w:rPr>
          <w:rFonts w:ascii="仿宋_GB2312" w:hAnsi="仿宋_GB2312" w:eastAsia="仿宋_GB2312" w:cs="宋体"/>
          <w:sz w:val="32"/>
          <w:szCs w:val="32"/>
        </w:rPr>
        <w:t>20</w:t>
      </w:r>
      <w:r>
        <w:rPr>
          <w:rFonts w:ascii="宋体" w:hAnsi="宋体" w:eastAsia="仿宋_GB2312" w:cs="宋体" w:hint="eastAsia"/>
          <w:sz w:val="32"/>
          <w:szCs w:val="32"/>
        </w:rPr>
        <w:t>个处室，分别是办公室、政策法规处、财务处、艺术处、公共文化处、科技教育处、非物质文化遗产处、产业发展处、资源开发处、市场管理处、文化市场综合执法监督局、旅游推广与对外交流处、文物管理处、文物保护与考古处、博物馆与革命文物工作处、文物安全监督处、维稳处、人事处、机关党委、离退休干部工作处。</w:t>
      </w:r>
      <w:r>
        <w:rPr>
          <w:rFonts w:ascii="宋体" w:hAnsi="宋体" w:eastAsia="仿宋_GB2312" w:cs="宋体"/>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cs="仿宋_GB2312" w:hint="eastAsia"/>
          <w:sz w:val="32"/>
          <w:szCs w:val="32"/>
        </w:rPr>
        <w:t>自治区文化和旅游厅2019</w:t>
      </w:r>
      <w:r>
        <w:rPr>
          <w:rFonts w:ascii="仿宋_GB2312" w:hAnsi="仿宋_GB2312" w:eastAsia="仿宋_GB2312" w:hint="eastAsia"/>
          <w:sz w:val="32"/>
          <w:szCs w:val="32"/>
        </w:rPr>
        <w:t>年度，实有人数1310人，其中：在职人员1289人，离休人员21人，退休人员0人。</w:t>
      </w:r>
      <w:r>
        <w:rPr>
          <w:rFonts w:ascii="仿宋_GB2312" w:hAnsi="仿宋_GB2312" w:eastAsia="仿宋_GB2312"/>
          <w:sz w:val="32"/>
          <w:szCs w:val="32"/>
        </w:rPr>
      </w:r>
    </w:p>
    <w:p>
      <w:pPr>
        <w:ind w:firstLine="640"/>
        <w:spacing w:line="520" w:lineRule="exact"/>
        <w:rPr>
          <w:rFonts w:ascii="仿宋_GB2312" w:hAnsi="仿宋_GB2312" w:eastAsia="仿宋_GB2312" w:cs="宋体"/>
          <w:sz w:val="32"/>
          <w:szCs w:val="32"/>
        </w:rPr>
      </w:pPr>
      <w:r>
        <w:rPr>
          <w:rFonts w:ascii="仿宋_GB2312" w:hAnsi="仿宋_GB2312" w:eastAsia="仿宋_GB2312" w:hint="eastAsia"/>
          <w:sz w:val="32"/>
          <w:szCs w:val="32"/>
        </w:rPr>
        <w:t>从部门决算单位构成看，</w:t>
      </w:r>
      <w:r>
        <w:rPr>
          <w:rFonts w:ascii="仿宋_GB2312" w:hAnsi="仿宋_GB2312" w:eastAsia="仿宋_GB2312" w:cs="仿宋_GB2312" w:hint="eastAsia"/>
          <w:sz w:val="32"/>
          <w:szCs w:val="32"/>
        </w:rPr>
        <w:t>自治区文化和旅游厅</w:t>
      </w:r>
      <w:r>
        <w:rPr>
          <w:rFonts w:ascii="仿宋_GB2312" w:hAnsi="仿宋_GB2312" w:eastAsia="仿宋_GB2312" w:hint="eastAsia"/>
          <w:sz w:val="32"/>
          <w:szCs w:val="32"/>
        </w:rPr>
        <w:t>部门决算包括：</w:t>
      </w:r>
      <w:r>
        <w:rPr>
          <w:rFonts w:ascii="仿宋_GB2312" w:hAnsi="仿宋_GB2312" w:eastAsia="仿宋_GB2312" w:cs="仿宋_GB2312" w:hint="eastAsia"/>
          <w:sz w:val="32"/>
          <w:szCs w:val="32"/>
        </w:rPr>
        <w:t>自治区文化和旅游厅</w:t>
      </w:r>
      <w:r>
        <w:rPr>
          <w:rFonts w:ascii="仿宋_GB2312" w:hAnsi="仿宋_GB2312" w:eastAsia="仿宋_GB2312" w:hint="eastAsia"/>
          <w:sz w:val="32"/>
          <w:szCs w:val="32"/>
        </w:rPr>
        <w:t>部门本级决算、所属单位决算等。</w:t>
      </w:r>
      <w:r>
        <w:rPr>
          <w:rFonts w:ascii="仿宋_GB2312" w:hAnsi="仿宋_GB2312" w:eastAsia="仿宋_GB2312" w:cs="宋体"/>
          <w:sz w:val="32"/>
          <w:szCs w:val="32"/>
        </w:rPr>
      </w:r>
    </w:p>
    <w:p>
      <w:pPr>
        <w:ind w:firstLine="640"/>
        <w:spacing w:line="520" w:lineRule="exact"/>
        <w:rPr>
          <w:rFonts w:ascii="仿宋_GB2312" w:hAnsi="仿宋_GB2312" w:eastAsia="仿宋_GB2312"/>
          <w:spacing w:val="-6"/>
          <w:sz w:val="32"/>
          <w:szCs w:val="32"/>
        </w:rPr>
      </w:pPr>
      <w:r>
        <w:rPr>
          <w:rFonts w:ascii="仿宋_GB2312" w:hAnsi="仿宋_GB2312" w:eastAsia="仿宋_GB2312" w:hint="eastAsia"/>
          <w:sz w:val="32"/>
          <w:szCs w:val="32"/>
        </w:rPr>
        <w:t>纳入</w:t>
      </w:r>
      <w:r>
        <w:rPr>
          <w:rFonts w:ascii="仿宋_GB2312" w:hAnsi="仿宋_GB2312" w:eastAsia="仿宋_GB2312" w:cs="仿宋_GB2312" w:hint="eastAsia"/>
          <w:sz w:val="32"/>
          <w:szCs w:val="32"/>
        </w:rPr>
        <w:t>自治区文化和旅游厅2019</w:t>
      </w:r>
      <w:r>
        <w:rPr>
          <w:rFonts w:ascii="仿宋_GB2312" w:hAnsi="仿宋_GB2312" w:eastAsia="仿宋_GB2312" w:hint="eastAsia"/>
          <w:sz w:val="32"/>
          <w:szCs w:val="32"/>
        </w:rPr>
        <w:t>年度部门决算编制范围的单位名单见下表</w:t>
      </w:r>
      <w:r>
        <w:rPr>
          <w:rFonts w:ascii="仿宋_GB2312" w:hAnsi="仿宋_GB2312" w:eastAsia="仿宋_GB2312" w:hint="eastAsia"/>
          <w:spacing w:val="-6"/>
          <w:sz w:val="32"/>
          <w:szCs w:val="32"/>
        </w:rPr>
        <w:t>：</w:t>
      </w:r>
      <w:r>
        <w:rPr>
          <w:rFonts w:ascii="仿宋_GB2312" w:hAnsi="仿宋_GB2312" w:eastAsia="仿宋_GB2312"/>
          <w:spacing w:val="-6"/>
          <w:sz w:val="32"/>
          <w:szCs w:val="32"/>
        </w:rPr>
      </w:r>
    </w:p>
    <w:tbl>
      <w:tblPr>
        <w:jc w:val="left"/>
        <w:tblInd w:w="-25" w:type="dxa"/>
        <w:tblW w:w="8237" w:type="dxa"/>
      </w:tblPr>
      <w:tblGrid>
        <w:gridCol w:w="866"/>
        <w:gridCol w:w="4252"/>
        <w:gridCol w:w="3119"/>
      </w:tblGrid>
      <w:tr>
        <w:trPr>
          <w:trHeight w:val="402" w:hRule="atLeast"/>
        </w:trPr>
        <w:tc>
          <w:tcPr>
            <w:tcW w:w="866" w:type="dxa"/>
            <w:vAlign w:val="center"/>
            <w:shd w:val="clear" w:color="000000" w:fill="E7E6E6"/>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序号</w:t>
            </w:r>
            <w:r>
              <w:rPr>
                <w:rFonts w:ascii="宋体" w:hAnsi="宋体" w:cs="宋体"/>
                <w:sz w:val="22"/>
                <w:szCs w:val="22"/>
              </w:rPr>
            </w:r>
          </w:p>
        </w:tc>
        <w:tc>
          <w:tcPr>
            <w:tcW w:w="4252" w:type="dxa"/>
            <w:vAlign w:val="center"/>
            <w:shd w:val="clear" w:color="000000" w:fill="E7E6E6"/>
            <w:tcMar>
              <w:top w:w="0" w:type="dxa"/>
              <w:left w:w="108" w:type="dxa"/>
              <w:bottom w:w="0" w:type="dxa"/>
              <w:right w:w="108" w:type="dxa"/>
            </w:tcMar>
            <w:tcBorders>
              <w:top w:val="single" w:sz="8" w:space="0" w:color="000000"/>
              <w:left w:val="none" w:sz="0"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单位</w:t>
            </w:r>
            <w:r>
              <w:rPr>
                <w:rFonts w:ascii="宋体" w:hAnsi="宋体" w:cs="宋体"/>
                <w:sz w:val="22"/>
                <w:szCs w:val="22"/>
              </w:rPr>
            </w:r>
          </w:p>
        </w:tc>
        <w:tc>
          <w:tcPr>
            <w:tcW w:w="3119" w:type="dxa"/>
            <w:vAlign w:val="center"/>
            <w:shd w:val="clear" w:color="000000" w:fill="E7E6E6"/>
            <w:tcMar>
              <w:top w:w="0" w:type="dxa"/>
              <w:left w:w="108" w:type="dxa"/>
              <w:bottom w:w="0" w:type="dxa"/>
              <w:right w:w="108" w:type="dxa"/>
            </w:tcMar>
            <w:tcBorders>
              <w:top w:val="single" w:sz="8" w:space="0" w:color="000000"/>
              <w:left w:val="none" w:sz="0"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备注</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1</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0"/>
                <w:szCs w:val="20"/>
              </w:rPr>
            </w:pPr>
            <w:r>
              <w:rPr>
                <w:rFonts w:ascii="宋体" w:hAnsi="宋体" w:cs="宋体" w:hint="eastAsia"/>
                <w:sz w:val="20"/>
                <w:szCs w:val="20"/>
              </w:rPr>
              <w:t>新疆维吾尔自治区文化和旅游厅本级</w:t>
            </w:r>
            <w:r>
              <w:rPr>
                <w:rFonts w:ascii="宋体" w:hAnsi="宋体" w:cs="宋体"/>
                <w:sz w:val="20"/>
                <w:szCs w:val="20"/>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 xml:space="preserve">　</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2</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新疆维吾尔自治区图书馆</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全额拨款文化事业单位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3</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新疆维吾尔自治区自治区文化馆</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全额拨款文化事业单位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4</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新疆文化艺术学校</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全额拨款文化事业单位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5</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新疆画院</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全额拨款文化事业单位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6</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新疆维吾尔自治区艺术研究所</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全额拨款文化事业单位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7</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新疆维吾尔自治区文物局</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参照公务员法管理事业单位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8</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新疆维吾尔自治区博物馆</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全额拨款文化事业单位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9</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新疆维吾尔自治区文物考古研究所</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全额拨款文化事业单位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10</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新疆维吾尔自治区文物古迹保护中心</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全额拨款文化事业单位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11</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新疆维吾尔自治区龟兹研究院</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全额拨款文化事业单位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12</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新疆维吾尔自治区文化厅机关服务中心</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全额拨款文化事业单位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13</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大型文化活动服务中心</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全额拨款文化事业单位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14</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新疆艺术剧院</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差额拨款文化事业单位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15</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新疆艺术剧院歌舞团</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差额拨款文化事业单位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16</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新疆艺术剧院歌剧团</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差额拨款文化事业单位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17</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新疆艺术剧院管弦乐团</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差额拨款文化事业单位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18</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新疆艺术剧院民族乐团</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差额拨款文化事业单位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19</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新疆艺术剧院话剧团</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差额拨款文化事业单位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20</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新疆艺术剧院人民剧场</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差额拨款文化事业单位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21</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新疆艺术剧院木卡姆团</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差额拨款文化事业单位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22</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新疆艺术剧院杂技团</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差额拨款文化事业单位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23</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新疆艺术剧院团结剧场</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差额拨款文化事业单位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24</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新疆维吾尔自治区旅发委机关服务中心</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全额拨款事业单位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25</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新疆维吾尔自治区旅游培训中心</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差额拨款事业单位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26</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新疆维吾尔自治区旅游执法总队</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参照公务员法管理事业单位</w:t>
            </w:r>
            <w:r>
              <w:rPr>
                <w:rFonts w:ascii="宋体" w:hAnsi="宋体" w:cs="宋体"/>
                <w:sz w:val="22"/>
                <w:szCs w:val="22"/>
              </w:rPr>
            </w:r>
          </w:p>
        </w:tc>
      </w:tr>
      <w:tr>
        <w:trPr>
          <w:trHeight w:val="402" w:hRule="atLeast"/>
        </w:trPr>
        <w:tc>
          <w:tcPr>
            <w:tcW w:w="866"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center"/>
              <w:widowControl/>
              <w:rPr>
                <w:rFonts w:ascii="宋体" w:hAnsi="宋体" w:cs="宋体"/>
                <w:sz w:val="22"/>
                <w:szCs w:val="22"/>
              </w:rPr>
            </w:pPr>
            <w:r>
              <w:rPr>
                <w:rFonts w:ascii="宋体" w:hAnsi="宋体" w:cs="宋体" w:hint="eastAsia"/>
                <w:sz w:val="22"/>
                <w:szCs w:val="22"/>
              </w:rPr>
              <w:t>27</w:t>
            </w:r>
            <w:r>
              <w:rPr>
                <w:rFonts w:ascii="宋体" w:hAnsi="宋体" w:cs="宋体"/>
                <w:sz w:val="22"/>
                <w:szCs w:val="22"/>
              </w:rPr>
            </w:r>
          </w:p>
        </w:tc>
        <w:tc>
          <w:tcPr>
            <w:tcW w:w="4252" w:type="dxa"/>
            <w:vAlign w:val="center"/>
            <w:tcMar>
              <w:top w:w="0" w:type="dxa"/>
              <w:left w:w="108" w:type="dxa"/>
              <w:bottom w:w="0" w:type="dxa"/>
              <w:right w:w="108" w:type="dxa"/>
            </w:tcMar>
            <w:tcBorders>
              <w:top w:val="none" w:sz="0" w:space="0" w:color="000000"/>
              <w:left w:val="none" w:sz="0" w:space="0" w:color="000000"/>
              <w:bottom w:val="single" w:sz="8" w:space="0" w:color="000000"/>
              <w:right w:val="none" w:sz="0" w:space="0" w:color="000000"/>
            </w:tcBorders>
          </w:tcPr>
          <w:p>
            <w:pPr>
              <w:spacing/>
              <w:jc w:val="left"/>
              <w:widowControl/>
              <w:rPr>
                <w:rFonts w:ascii="宋体" w:hAnsi="宋体" w:cs="宋体"/>
                <w:sz w:val="22"/>
                <w:szCs w:val="22"/>
              </w:rPr>
            </w:pPr>
            <w:r>
              <w:rPr>
                <w:rFonts w:ascii="宋体" w:hAnsi="宋体" w:cs="宋体" w:hint="eastAsia"/>
                <w:sz w:val="22"/>
                <w:szCs w:val="22"/>
              </w:rPr>
              <w:t>新疆维吾尔自治区旅游宣传推广中心</w:t>
            </w:r>
            <w:r>
              <w:rPr>
                <w:rFonts w:ascii="宋体" w:hAnsi="宋体" w:cs="宋体"/>
                <w:sz w:val="22"/>
                <w:szCs w:val="22"/>
              </w:rPr>
            </w:r>
          </w:p>
        </w:tc>
        <w:tc>
          <w:tcPr>
            <w:tcW w:w="3119" w:type="dxa"/>
            <w:vAlign w:val="center"/>
            <w:tcMar>
              <w:top w:w="0" w:type="dxa"/>
              <w:left w:w="108" w:type="dxa"/>
              <w:bottom w:w="0" w:type="dxa"/>
              <w:right w:w="108" w:type="dxa"/>
            </w:tcMar>
            <w:tcBorders>
              <w:top w:val="none" w:sz="0" w:space="0" w:color="000000"/>
              <w:left w:val="single" w:sz="8" w:space="0" w:color="000000"/>
              <w:bottom w:val="single" w:sz="8" w:space="0" w:color="000000"/>
              <w:right w:val="single" w:sz="8" w:space="0" w:color="000000"/>
            </w:tcBorders>
          </w:tcPr>
          <w:p>
            <w:pPr>
              <w:spacing/>
              <w:jc w:val="left"/>
              <w:widowControl/>
              <w:rPr>
                <w:rFonts w:ascii="宋体" w:hAnsi="宋体" w:cs="宋体"/>
                <w:sz w:val="22"/>
                <w:szCs w:val="22"/>
              </w:rPr>
            </w:pPr>
            <w:r>
              <w:rPr>
                <w:rFonts w:ascii="宋体" w:hAnsi="宋体" w:cs="宋体" w:hint="eastAsia"/>
                <w:sz w:val="22"/>
                <w:szCs w:val="22"/>
              </w:rPr>
              <w:t>全额拨款事业单位</w:t>
            </w:r>
            <w:r>
              <w:rPr>
                <w:rFonts w:ascii="宋体" w:hAnsi="宋体" w:cs="宋体"/>
                <w:sz w:val="22"/>
                <w:szCs w:val="22"/>
              </w:rPr>
            </w:r>
          </w:p>
        </w:tc>
      </w:tr>
    </w:tbl>
    <w:p>
      <w:pPr>
        <w:ind w:firstLine="616"/>
        <w:spacing w:line="520" w:lineRule="exact"/>
        <w:rPr>
          <w:rFonts w:ascii="仿宋_GB2312" w:hAnsi="仿宋_GB2312" w:eastAsia="仿宋_GB2312"/>
          <w:spacing w:val="-6"/>
          <w:sz w:val="32"/>
          <w:szCs w:val="32"/>
        </w:rPr>
      </w:pPr>
      <w:r>
        <w:rPr>
          <w:rFonts w:ascii="仿宋_GB2312" w:hAnsi="仿宋_GB2312" w:eastAsia="仿宋_GB2312"/>
          <w:spacing w:val="-6"/>
          <w:sz w:val="32"/>
          <w:szCs w:val="32"/>
        </w:rPr>
      </w:r>
    </w:p>
    <w:p>
      <w:pPr>
        <w:ind w:firstLine="616"/>
        <w:spacing w:line="520" w:lineRule="exact"/>
        <w:rPr>
          <w:rFonts w:ascii="仿宋_GB2312" w:hAnsi="仿宋_GB2312" w:eastAsia="仿宋_GB2312"/>
          <w:spacing w:val="-6"/>
          <w:sz w:val="32"/>
          <w:szCs w:val="32"/>
        </w:rPr>
      </w:pPr>
      <w:r>
        <w:rPr>
          <w:rFonts w:ascii="仿宋_GB2312" w:hAnsi="仿宋_GB2312" w:eastAsia="仿宋_GB2312"/>
          <w:spacing w:val="-6"/>
          <w:sz w:val="32"/>
          <w:szCs w:val="32"/>
        </w:rPr>
      </w:r>
    </w:p>
    <w:p>
      <w:pPr>
        <w:ind w:firstLine="640"/>
        <w:spacing w:line="520" w:lineRule="exact"/>
        <w:jc w:val="center"/>
        <w:outlineLvl w:val="0"/>
        <w:rPr>
          <w:rFonts w:ascii="黑体" w:hAnsi="黑体" w:eastAsia="黑体"/>
          <w:sz w:val="32"/>
          <w:szCs w:val="32"/>
        </w:rPr>
      </w:pPr>
      <w:r/>
      <w:bookmarkStart w:id="4" w:name="_Toc3092"/>
      <w:bookmarkEnd w:id="4"/>
      <w:r/>
      <w:bookmarkStart w:id="5" w:name="_Toc29374"/>
      <w:bookmarkEnd w:id="5"/>
      <w:r/>
      <w:r>
        <w:rPr>
          <w:rFonts w:ascii="黑体" w:hAnsi="黑体" w:eastAsia="黑体" w:hint="eastAsia"/>
          <w:sz w:val="32"/>
          <w:szCs w:val="32"/>
        </w:rPr>
        <w:t>第二部分 部门决算情况说明</w:t>
      </w:r>
      <w:r>
        <w:rPr>
          <w:rFonts w:ascii="黑体" w:hAnsi="黑体" w:eastAsia="黑体"/>
          <w:sz w:val="32"/>
          <w:szCs w:val="32"/>
        </w:rPr>
      </w:r>
    </w:p>
    <w:p>
      <w:pPr>
        <w:ind w:firstLine="640"/>
        <w:spacing w:line="520" w:lineRule="exact"/>
        <w:outlineLvl w:val="1"/>
        <w:rPr>
          <w:rFonts w:ascii="黑体" w:hAnsi="黑体" w:eastAsia="黑体" w:cs="宋体"/>
          <w:bCs/>
          <w:sz w:val="32"/>
          <w:szCs w:val="32"/>
        </w:rPr>
      </w:pPr>
      <w:r/>
      <w:bookmarkStart w:id="6" w:name="_Toc12566"/>
      <w:bookmarkEnd w:id="6"/>
      <w:r/>
      <w:bookmarkStart w:id="7" w:name="_Toc25314"/>
      <w:bookmarkEnd w:id="7"/>
      <w:r/>
      <w:r>
        <w:rPr>
          <w:rFonts w:ascii="黑体" w:hAnsi="黑体" w:eastAsia="黑体" w:cs="宋体" w:hint="eastAsia"/>
          <w:bCs/>
          <w:sz w:val="32"/>
          <w:szCs w:val="32"/>
        </w:rPr>
        <w:t>一、收入支出决算总体情况说明</w:t>
      </w:r>
      <w:r>
        <w:rPr>
          <w:rFonts w:ascii="黑体" w:hAnsi="黑体" w:eastAsia="黑体" w:cs="宋体"/>
          <w:bCs/>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2019年度本年收入100401.72万元，与上年相比，增加23070.09万元，增长29.83%，主要原因是：一般公共预算财政拨款较上年增加41.89%，所属事业单位事业收入较上年增加15.66%。本年支出100892.62万元，与上年相比，增加11170.69万元，增长12.45%，主要原因是：日常公用经费较上年增加33.8%，各类项目支出较上年增加14.8%。</w:t>
      </w:r>
      <w:r>
        <w:rPr>
          <w:rFonts w:ascii="仿宋_GB2312" w:hAnsi="仿宋_GB2312" w:eastAsia="仿宋_GB2312"/>
          <w:sz w:val="32"/>
          <w:szCs w:val="32"/>
        </w:rPr>
      </w:r>
    </w:p>
    <w:p>
      <w:pPr>
        <w:ind w:firstLine="640"/>
        <w:spacing w:line="520" w:lineRule="exact"/>
        <w:outlineLvl w:val="1"/>
        <w:rPr>
          <w:rFonts w:ascii="黑体" w:hAnsi="黑体" w:eastAsia="黑体" w:cs="宋体"/>
          <w:bCs/>
          <w:sz w:val="32"/>
          <w:szCs w:val="32"/>
        </w:rPr>
      </w:pPr>
      <w:r/>
      <w:bookmarkStart w:id="8" w:name="_Toc1979"/>
      <w:bookmarkEnd w:id="8"/>
      <w:r/>
      <w:bookmarkStart w:id="9" w:name="_Toc12142"/>
      <w:bookmarkEnd w:id="9"/>
      <w:r/>
      <w:r>
        <w:rPr>
          <w:rFonts w:ascii="黑体" w:hAnsi="黑体" w:eastAsia="黑体" w:cs="宋体" w:hint="eastAsia"/>
          <w:bCs/>
          <w:sz w:val="32"/>
          <w:szCs w:val="32"/>
        </w:rPr>
        <w:t>二、收入决算情况说明</w:t>
      </w:r>
      <w:r>
        <w:rPr>
          <w:rFonts w:ascii="黑体" w:hAnsi="黑体" w:eastAsia="黑体" w:cs="宋体"/>
          <w:bCs/>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2019年度本年收入100401.72万元，其中：财政拨款收入93703.10万元，占93.33%；上级补助收入0万元，占0%；事业收入1074.53万元，占1.07%；经营收入1217.06</w:t>
      </w:r>
      <w:r>
        <w:rPr>
          <w:rFonts w:ascii="仿宋_GB2312" w:hAnsi="仿宋_GB2312" w:eastAsia="仿宋_GB2312" w:hint="eastAsia"/>
          <w:sz w:val="32"/>
          <w:szCs w:val="32"/>
        </w:rPr>
        <w:t>万元，占1.21%；附属单位上缴收入0万元，占0%；其他收入4407.02万元，占4.39%。</w:t>
      </w:r>
      <w:r>
        <w:rPr>
          <w:rFonts w:ascii="仿宋_GB2312" w:hAnsi="仿宋_GB2312" w:eastAsia="仿宋_GB2312"/>
          <w:sz w:val="32"/>
          <w:szCs w:val="32"/>
        </w:rPr>
      </w:r>
    </w:p>
    <w:p>
      <w:pPr>
        <w:ind w:firstLine="640"/>
        <w:spacing w:line="520" w:lineRule="exact"/>
        <w:outlineLvl w:val="1"/>
        <w:rPr>
          <w:rFonts w:ascii="黑体" w:hAnsi="黑体" w:eastAsia="黑体" w:cs="宋体"/>
          <w:bCs/>
          <w:sz w:val="32"/>
          <w:szCs w:val="32"/>
        </w:rPr>
      </w:pPr>
      <w:r/>
      <w:bookmarkStart w:id="10" w:name="_Toc27961"/>
      <w:bookmarkEnd w:id="10"/>
      <w:r/>
      <w:bookmarkStart w:id="11" w:name="_Toc13201"/>
      <w:bookmarkEnd w:id="11"/>
      <w:r/>
      <w:r>
        <w:rPr>
          <w:rFonts w:ascii="黑体" w:hAnsi="黑体" w:eastAsia="黑体" w:cs="宋体" w:hint="eastAsia"/>
          <w:bCs/>
          <w:sz w:val="32"/>
          <w:szCs w:val="32"/>
        </w:rPr>
        <w:t>三、支出决算情况说明</w:t>
      </w:r>
      <w:r>
        <w:rPr>
          <w:rFonts w:ascii="黑体" w:hAnsi="黑体" w:eastAsia="黑体" w:cs="宋体"/>
          <w:bCs/>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2019年度本年支出100892.62万元，其中：基本支出25879.15万元，占25.65%；项目支出73816.45万元，占73.16%；上缴上级支出0万元，占0%；经营支出1197.02万元，占1.19%；对附属单位补助支出0万元，占0%。</w:t>
      </w:r>
      <w:r>
        <w:rPr>
          <w:rFonts w:ascii="仿宋_GB2312" w:hAnsi="仿宋_GB2312" w:eastAsia="仿宋_GB2312"/>
          <w:sz w:val="32"/>
          <w:szCs w:val="32"/>
        </w:rPr>
      </w:r>
    </w:p>
    <w:p>
      <w:pPr>
        <w:ind w:firstLine="640"/>
        <w:spacing w:line="520" w:lineRule="exact"/>
        <w:outlineLvl w:val="1"/>
        <w:rPr>
          <w:rFonts w:ascii="黑体" w:hAnsi="黑体" w:eastAsia="黑体" w:cs="宋体"/>
          <w:bCs/>
          <w:sz w:val="32"/>
          <w:szCs w:val="32"/>
        </w:rPr>
      </w:pPr>
      <w:r/>
      <w:bookmarkStart w:id="12" w:name="_Toc4393"/>
      <w:bookmarkEnd w:id="12"/>
      <w:r/>
      <w:bookmarkStart w:id="13" w:name="_Toc26564"/>
      <w:bookmarkEnd w:id="13"/>
      <w:r/>
      <w:r>
        <w:rPr>
          <w:rFonts w:ascii="黑体" w:hAnsi="黑体" w:eastAsia="黑体" w:cs="宋体" w:hint="eastAsia"/>
          <w:bCs/>
          <w:sz w:val="32"/>
          <w:szCs w:val="32"/>
        </w:rPr>
        <w:t>四、财政拨款收入支出决算总体情况说明</w:t>
      </w:r>
      <w:r>
        <w:rPr>
          <w:rFonts w:ascii="黑体" w:hAnsi="黑体" w:eastAsia="黑体" w:cs="宋体"/>
          <w:bCs/>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2019年度财政拨款收入93703.10万元，与上年相比，增加27289.57万元，增长41.09%。主要原因是</w:t>
      </w:r>
      <w:r>
        <w:rPr>
          <w:rFonts w:ascii="仿宋_GB2312" w:hAnsi="仿宋_GB2312" w:eastAsia="仿宋_GB2312"/>
          <w:sz w:val="32"/>
          <w:szCs w:val="32"/>
        </w:rPr>
        <w:t>:</w:t>
      </w:r>
      <w:r>
        <w:rPr>
          <w:rFonts w:ascii="仿宋_GB2312" w:hAnsi="仿宋_GB2312" w:eastAsia="仿宋_GB2312" w:hint="eastAsia"/>
          <w:sz w:val="32"/>
          <w:szCs w:val="32"/>
        </w:rPr>
        <w:t>图书馆、文化展示及纪念机构、艺术表演场所、文化活动、旅游宣传等方面的拨款增加。财政拨款支出92572.46万元，与上年相比，增加5876.39万元，增长6.8%，主要原因是：文艺表演团体支出、文化产业发展、社会保障和就业支出、发展与改革事务等方面的支出增加。</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与年初预算数相比情况：财政拨款收入年初预算数30386.24万元，决算数93703.10万元，预决算差异率208.4%，主要原因是中央补助地方公共文化服务体系建设资金、旅游发展基金、文物保护专项资金、非物质文化遗产保护资金、三区人才文化工作者专项经费等。财政拨款支出年初预算数30386.24万元，决算数92572.46万元，预决算差异率205%，主要原因是中央补助地方公共文化服务体系建设资金、旅游发展基金、文物保护专项资金、非物质文化遗产保护资金、三区人才文化工作者专项经费等形成的支出。</w:t>
      </w:r>
      <w:r>
        <w:rPr>
          <w:rFonts w:ascii="仿宋_GB2312" w:hAnsi="仿宋_GB2312" w:eastAsia="仿宋_GB2312"/>
          <w:sz w:val="32"/>
          <w:szCs w:val="32"/>
        </w:rPr>
      </w:r>
    </w:p>
    <w:p>
      <w:pPr>
        <w:ind w:firstLine="640"/>
        <w:spacing w:line="520" w:lineRule="exact"/>
        <w:outlineLvl w:val="1"/>
        <w:rPr>
          <w:rFonts w:ascii="黑体" w:hAnsi="黑体" w:eastAsia="黑体" w:cs="宋体"/>
          <w:bCs/>
          <w:sz w:val="32"/>
          <w:szCs w:val="32"/>
        </w:rPr>
      </w:pPr>
      <w:r/>
      <w:bookmarkStart w:id="14" w:name="_Toc13833"/>
      <w:bookmarkEnd w:id="14"/>
      <w:r/>
      <w:bookmarkStart w:id="15" w:name="_Toc20360"/>
      <w:bookmarkEnd w:id="15"/>
      <w:r/>
      <w:r>
        <w:rPr>
          <w:rFonts w:ascii="黑体" w:hAnsi="黑体" w:eastAsia="黑体" w:cs="宋体" w:hint="eastAsia"/>
          <w:bCs/>
          <w:sz w:val="32"/>
          <w:szCs w:val="32"/>
        </w:rPr>
        <w:t>五、一般公共预算财政拨款支出决算情况说明</w:t>
      </w:r>
      <w:r>
        <w:rPr>
          <w:rFonts w:ascii="黑体" w:hAnsi="黑体" w:eastAsia="黑体" w:cs="宋体"/>
          <w:bCs/>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2019年度一般公共预算财政拨款支出92572.45万元。按功能分类科目项级科目公开，其中：</w:t>
      </w:r>
      <w:r>
        <w:rPr>
          <w:rFonts w:ascii="仿宋_GB2312" w:hAnsi="仿宋_GB2312" w:eastAsia="仿宋_GB2312"/>
          <w:sz w:val="32"/>
          <w:szCs w:val="32"/>
        </w:rPr>
      </w:r>
    </w:p>
    <w:tbl>
      <w:tblPr>
        <w:jc w:val="left"/>
        <w:tblInd w:w="-25" w:type="dxa"/>
        <w:tblW w:w="7953" w:type="dxa"/>
      </w:tblPr>
      <w:tblGrid>
        <w:gridCol w:w="1336"/>
        <w:gridCol w:w="4185"/>
        <w:gridCol w:w="2432"/>
      </w:tblGrid>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2010499</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其他发展与改革事务支出</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28.90</w:t>
            </w:r>
            <w:r>
              <w:rPr>
                <w:rFonts w:ascii="Arial" w:hAnsi="Arial" w:cs="Arial" w:hint="eastAsia"/>
                <w:sz w:val="32"/>
                <w:szCs w:val="32"/>
              </w:rPr>
              <w:t>万元</w:t>
            </w:r>
            <w:r>
              <w:rPr>
                <w:rFonts w:ascii="Arial" w:hAnsi="Arial" w:cs="Arial"/>
                <w:sz w:val="32"/>
                <w:szCs w:val="32"/>
              </w:rPr>
              <w:t xml:space="preserve"> </w:t>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2050201</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学前教育</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22.88</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2050302</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中专教育</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352.85</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2050399</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其他职业教育支出</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300.00</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2070101</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行政运行</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3364.04</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2070103</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机关服务</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403.48</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2070104</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图书馆</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4060.56</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2070105</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文化展示及纪念机构</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11200.00</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2070106</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艺术表演场所</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401.56</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2070107</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艺术表演团体</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11066.28</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2070108</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文化活动</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285.76</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2070109</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群众文化</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689.04</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2070110</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文化和旅游交流与合作</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29.99</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2070111</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文化创作与保护</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1337.80</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2070112</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文化和旅游市场管理</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100.00</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2070113</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旅游宣传</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8069.82</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2070114</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旅游行业业务管理</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221.25</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2070199</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其他文化和旅游支出</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13907.03</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2070201</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行政运行</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396.90</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2070204</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文物保护</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10737.18</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2070205</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博物馆</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10309.01</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2070299</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其他文物支出</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1517.45</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2079999</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其他文化体育与传媒支出</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8860.43</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2080504</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未归口管理的行政单位离退休</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361.49</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2080505</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机关事业单位基本养老保险缴费支出</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1909.56</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2080506</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机关事业单位职业年金缴费支出</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527.05</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2080599</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其他行政事业单位离退休支出</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2057.93</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2111001</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能源节约利用</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5.00</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2130199</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其他农业支出</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30.00</w:t>
            </w:r>
            <w:r>
              <w:rPr>
                <w:rFonts w:ascii="Arial" w:hAnsi="Arial" w:cs="Arial" w:hint="eastAsia"/>
                <w:sz w:val="32"/>
                <w:szCs w:val="32"/>
              </w:rPr>
              <w:t>万元</w:t>
            </w:r>
            <w:r>
              <w:rPr>
                <w:rFonts w:ascii="Arial" w:hAnsi="Arial" w:cs="Arial"/>
                <w:sz w:val="32"/>
                <w:szCs w:val="32"/>
              </w:rPr>
            </w:r>
          </w:p>
        </w:tc>
      </w:tr>
      <w:tr>
        <w:trPr>
          <w:trHeight w:val="270" w:hRule="atLeast"/>
        </w:trPr>
        <w:tc>
          <w:tcPr>
            <w:tcW w:w="1336"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2299901</w:t>
            </w:r>
            <w:r>
              <w:rPr>
                <w:rFonts w:ascii="宋体" w:hAnsi="宋体" w:cs="Arial"/>
                <w:sz w:val="32"/>
                <w:szCs w:val="32"/>
              </w:rPr>
            </w:r>
          </w:p>
        </w:tc>
        <w:tc>
          <w:tcPr>
            <w:tcW w:w="4185" w:type="dxa"/>
            <w:vAlign w:val="center"/>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Arial"/>
                <w:sz w:val="32"/>
                <w:szCs w:val="32"/>
              </w:rPr>
            </w:pPr>
            <w:r>
              <w:rPr>
                <w:rFonts w:ascii="宋体" w:hAnsi="宋体" w:cs="Arial" w:hint="eastAsia"/>
                <w:sz w:val="32"/>
                <w:szCs w:val="32"/>
              </w:rPr>
              <w:t xml:space="preserve">  其他支出</w:t>
            </w:r>
            <w:r>
              <w:rPr>
                <w:rFonts w:ascii="宋体" w:hAnsi="宋体" w:cs="Arial"/>
                <w:sz w:val="32"/>
                <w:szCs w:val="32"/>
              </w:rPr>
            </w:r>
          </w:p>
        </w:tc>
        <w:tc>
          <w:tcPr>
            <w:tcW w:w="2432" w:type="dxa"/>
            <w:vAlign w:val="bottom"/>
            <w:tcMar>
              <w:top w:w="0" w:type="dxa"/>
              <w:left w:w="108" w:type="dxa"/>
              <w:bottom w:w="0" w:type="dxa"/>
              <w:right w:w="108" w:type="dxa"/>
            </w:tcMar>
            <w:tcBorders>
              <w:top w:val="none" w:sz="0" w:space="0" w:color="000000"/>
              <w:left w:val="none" w:sz="0" w:space="0" w:color="000000"/>
              <w:bottom w:val="none" w:sz="0" w:space="0" w:color="000000"/>
              <w:right w:val="none" w:sz="0" w:space="0" w:color="000000"/>
            </w:tcBorders>
          </w:tcPr>
          <w:p>
            <w:pPr>
              <w:spacing/>
              <w:jc w:val="right"/>
              <w:widowControl/>
              <w:rPr>
                <w:rFonts w:ascii="Arial" w:hAnsi="Arial" w:cs="Arial"/>
                <w:sz w:val="32"/>
                <w:szCs w:val="32"/>
              </w:rPr>
            </w:pPr>
            <w:r>
              <w:rPr>
                <w:rFonts w:ascii="Arial" w:hAnsi="Arial" w:cs="Arial"/>
                <w:sz w:val="32"/>
                <w:szCs w:val="32"/>
              </w:rPr>
              <w:t>19.22</w:t>
            </w:r>
            <w:r>
              <w:rPr>
                <w:rFonts w:ascii="Arial" w:hAnsi="Arial" w:cs="Arial" w:hint="eastAsia"/>
                <w:sz w:val="32"/>
                <w:szCs w:val="32"/>
              </w:rPr>
              <w:t>万元</w:t>
            </w:r>
            <w:r>
              <w:rPr>
                <w:rFonts w:ascii="Arial" w:hAnsi="Arial" w:cs="Arial"/>
                <w:sz w:val="32"/>
                <w:szCs w:val="32"/>
              </w:rPr>
            </w:r>
          </w:p>
        </w:tc>
      </w:tr>
    </w:tbl>
    <w:p>
      <w:pPr>
        <w:ind w:firstLine="640"/>
        <w:spacing w:line="520" w:lineRule="exact"/>
        <w:outlineLvl w:val="1"/>
        <w:rPr>
          <w:rFonts w:ascii="黑体" w:hAnsi="黑体" w:eastAsia="黑体" w:cs="宋体"/>
          <w:bCs/>
          <w:sz w:val="32"/>
          <w:szCs w:val="32"/>
        </w:rPr>
      </w:pPr>
      <w:r/>
      <w:bookmarkStart w:id="16" w:name="_Toc11146"/>
      <w:bookmarkEnd w:id="16"/>
      <w:r/>
      <w:bookmarkStart w:id="17" w:name="_Toc30870"/>
      <w:bookmarkEnd w:id="17"/>
      <w:r/>
      <w:r>
        <w:rPr>
          <w:rFonts w:ascii="黑体" w:hAnsi="黑体" w:eastAsia="黑体" w:cs="宋体" w:hint="eastAsia"/>
          <w:bCs/>
          <w:sz w:val="32"/>
          <w:szCs w:val="32"/>
        </w:rPr>
        <w:t>六、一般公共预算财政拨款基本支出决算情况说明</w:t>
      </w:r>
      <w:r>
        <w:rPr>
          <w:rFonts w:ascii="黑体" w:hAnsi="黑体" w:eastAsia="黑体" w:cs="宋体"/>
          <w:bCs/>
          <w:sz w:val="32"/>
          <w:szCs w:val="32"/>
        </w:rPr>
      </w:r>
    </w:p>
    <w:p>
      <w:pPr>
        <w:ind w:firstLine="640"/>
        <w:spacing w:line="520" w:lineRule="exact"/>
        <w:rPr>
          <w:rFonts w:ascii="宋体" w:hAnsi="宋体" w:cs="Arial"/>
          <w:sz w:val="22"/>
          <w:szCs w:val="22"/>
        </w:rPr>
      </w:pPr>
      <w:r>
        <w:rPr>
          <w:rFonts w:ascii="仿宋_GB2312" w:hAnsi="仿宋_GB2312" w:eastAsia="仿宋_GB2312" w:hint="eastAsia"/>
          <w:sz w:val="32"/>
          <w:szCs w:val="32"/>
        </w:rPr>
        <w:t>2019年度一般公共预算财政拨款基本支出23765.54万元：人员经费21245.84万元，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助学金、奖励金、其他对个人和家庭补助支出。</w:t>
      </w:r>
      <w:r>
        <w:rPr>
          <w:rFonts w:ascii="宋体" w:hAnsi="宋体" w:cs="Arial"/>
          <w:sz w:val="22"/>
          <w:szCs w:val="2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公用经费2519.70万元，包括：办公费、印刷费、咨询费、手续费、水费、电费、邮电费、取暖费、物业管理费、差旅费、维修（护）费、租赁费、培训费、公务接待费、专用材料费、劳务费、委托业务费、工会经费、福利费、公务用车运行维护费、其他交通费用、其他商品和服务支出、办公设备购置。</w:t>
      </w:r>
      <w:r>
        <w:rPr>
          <w:rFonts w:ascii="仿宋_GB2312" w:hAnsi="仿宋_GB2312" w:eastAsia="仿宋_GB2312"/>
          <w:sz w:val="32"/>
          <w:szCs w:val="32"/>
        </w:rPr>
      </w:r>
    </w:p>
    <w:p>
      <w:pPr>
        <w:ind w:firstLine="640"/>
        <w:spacing w:line="520" w:lineRule="exact"/>
        <w:outlineLvl w:val="1"/>
        <w:rPr>
          <w:rFonts w:ascii="黑体" w:hAnsi="黑体" w:eastAsia="黑体" w:cs="宋体"/>
          <w:bCs/>
          <w:sz w:val="32"/>
          <w:szCs w:val="32"/>
        </w:rPr>
      </w:pPr>
      <w:r/>
      <w:bookmarkStart w:id="18" w:name="_Toc7190"/>
      <w:bookmarkEnd w:id="18"/>
      <w:r/>
      <w:bookmarkStart w:id="19" w:name="_Toc21518"/>
      <w:bookmarkEnd w:id="19"/>
      <w:r/>
      <w:r>
        <w:rPr>
          <w:rFonts w:ascii="黑体" w:hAnsi="黑体" w:eastAsia="黑体" w:cs="宋体" w:hint="eastAsia"/>
          <w:bCs/>
          <w:sz w:val="32"/>
          <w:szCs w:val="32"/>
        </w:rPr>
        <w:t>七、一般公共预算财政拨款“三公”经费支出决算情况说明</w:t>
      </w:r>
      <w:r>
        <w:rPr>
          <w:rFonts w:ascii="黑体" w:hAnsi="黑体" w:eastAsia="黑体" w:cs="宋体"/>
          <w:bCs/>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2019年度一般公共预算财政拨款“三公”经费支出决算</w:t>
      </w:r>
      <w:r>
        <w:rPr>
          <w:rFonts w:ascii="仿宋_GB2312" w:hAnsi="仿宋_GB2312" w:eastAsia="仿宋_GB2312"/>
          <w:sz w:val="32"/>
          <w:szCs w:val="32"/>
        </w:rPr>
        <w:t>240</w:t>
      </w:r>
      <w:r>
        <w:rPr>
          <w:rFonts w:ascii="仿宋_GB2312" w:hAnsi="仿宋_GB2312" w:eastAsia="仿宋_GB2312" w:hint="eastAsia"/>
          <w:sz w:val="32"/>
          <w:szCs w:val="32"/>
        </w:rPr>
        <w:t>.</w:t>
      </w:r>
      <w:r>
        <w:rPr>
          <w:rFonts w:ascii="仿宋_GB2312" w:hAnsi="仿宋_GB2312" w:eastAsia="仿宋_GB2312"/>
          <w:sz w:val="32"/>
          <w:szCs w:val="32"/>
        </w:rPr>
        <w:t>85</w:t>
      </w:r>
      <w:r>
        <w:rPr>
          <w:rFonts w:ascii="仿宋_GB2312" w:hAnsi="仿宋_GB2312" w:eastAsia="仿宋_GB2312" w:hint="eastAsia"/>
          <w:sz w:val="32"/>
          <w:szCs w:val="32"/>
        </w:rPr>
        <w:t>万元，比上年增加</w:t>
      </w:r>
      <w:r>
        <w:rPr>
          <w:rFonts w:ascii="仿宋_GB2312" w:hAnsi="仿宋_GB2312" w:eastAsia="仿宋_GB2312"/>
          <w:sz w:val="32"/>
          <w:szCs w:val="32"/>
        </w:rPr>
        <w:t>10.19</w:t>
      </w:r>
      <w:r>
        <w:rPr>
          <w:rFonts w:ascii="仿宋_GB2312" w:hAnsi="仿宋_GB2312" w:eastAsia="仿宋_GB2312" w:hint="eastAsia"/>
          <w:sz w:val="32"/>
          <w:szCs w:val="32"/>
        </w:rPr>
        <w:t>万元，增长5%，主要原因是公车运行及购置费用、公务接待费较上年减少，出国经费较上年增加幅度较大。其中，因公出国（境）费支出29.52万元，占12.3%，比上年增加23.06万元</w:t>
      </w:r>
      <w:r>
        <w:rPr>
          <w:rFonts w:ascii="仿宋_GB2312" w:hAnsi="仿宋_GB2312" w:eastAsia="仿宋_GB2312" w:cs="仿宋" w:hint="eastAsia"/>
          <w:sz w:val="32"/>
          <w:szCs w:val="32"/>
        </w:rPr>
        <w:t>，主要原因是为完成文化交流及宣传推介任务，2019年组团赴国外交流及旅游宣传推广比2018年的力度增加较大；</w:t>
      </w:r>
      <w:r>
        <w:rPr>
          <w:rFonts w:ascii="仿宋_GB2312" w:hAnsi="仿宋_GB2312" w:eastAsia="仿宋_GB2312" w:hint="eastAsia"/>
          <w:sz w:val="32"/>
          <w:szCs w:val="32"/>
        </w:rPr>
        <w:t>公务用车购置及运行维护费支出208.12万元，占86.4%，比上年减少10.81万元，降低5%，主要原因是车辆运行成本降低；公务接待费支出3.2万元，占1.3%，比上年减少2.07万元，降低40%，主要原因是减少接待人次。具体情况如下：</w:t>
      </w:r>
      <w:r>
        <w:rPr>
          <w:rFonts w:ascii="仿宋_GB2312" w:hAnsi="仿宋_GB2312" w:eastAsia="仿宋_GB2312"/>
          <w:sz w:val="32"/>
          <w:szCs w:val="32"/>
        </w:rPr>
      </w:r>
    </w:p>
    <w:p>
      <w:pPr>
        <w:ind w:firstLine="640"/>
        <w:spacing w:line="520" w:lineRule="exact"/>
        <w:rPr>
          <w:rFonts w:ascii="仿宋_GB2312" w:hAnsi="仿宋_GB2312" w:eastAsia="仿宋_GB2312" w:cs="仿宋"/>
          <w:sz w:val="32"/>
          <w:szCs w:val="32"/>
        </w:rPr>
      </w:pPr>
      <w:r>
        <w:rPr>
          <w:rFonts w:ascii="仿宋_GB2312" w:hAnsi="仿宋_GB2312" w:eastAsia="仿宋_GB2312" w:hint="eastAsia"/>
          <w:sz w:val="32"/>
          <w:szCs w:val="32"/>
        </w:rPr>
        <w:t>因公出国（境）费支出29.52万元，开支内容是为完成自治区文化交流任务，赴马来西亚的出国演出费用</w:t>
      </w:r>
      <w:r>
        <w:rPr>
          <w:rFonts w:ascii="仿宋_GB2312" w:hAnsi="仿宋_GB2312" w:eastAsia="仿宋_GB2312" w:cs="仿宋" w:hint="eastAsia"/>
          <w:sz w:val="32"/>
          <w:szCs w:val="32"/>
        </w:rPr>
        <w:t>。单位全年安排的因公出国（境）团组数5个，因公出国（境）人次13人。</w:t>
      </w:r>
      <w:r>
        <w:rPr>
          <w:rFonts w:ascii="仿宋_GB2312" w:hAnsi="仿宋_GB2312" w:eastAsia="仿宋_GB2312" w:cs="仿宋"/>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公务用车购置及运行维护费208.12万元，其中，公务用车购置费0万元，公务用车运行维护费208.12万元。公务用车运行维护费开支内容包括车辆运行燃油费、修理费等。公务用车购置数0辆，公务用车保有量136辆。</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公务接待费3.2万元，开支内容包括接待国内公务人员。单位全年安排的国内公务接待37批次，401人次。</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与年初预算数相比情况：一般公共预算“三公”经费支出年初预算数448.65万元，决算数240.85万元，预决算差异率-46.3%，主要原因是：公车运行购置及运维费减少。</w:t>
      </w:r>
      <w:r>
        <w:rPr>
          <w:rFonts w:ascii="仿宋_GB2312" w:hAnsi="仿宋_GB2312" w:eastAsia="仿宋_GB2312" w:cs="宋体" w:hint="eastAsia"/>
          <w:sz w:val="32"/>
          <w:szCs w:val="32"/>
        </w:rPr>
        <w:t>其中：因公出国（境）费</w:t>
      </w:r>
      <w:r>
        <w:rPr>
          <w:rFonts w:ascii="仿宋_GB2312" w:hAnsi="仿宋_GB2312" w:eastAsia="仿宋_GB2312" w:hint="eastAsia"/>
          <w:sz w:val="32"/>
          <w:szCs w:val="32"/>
        </w:rPr>
        <w:t>预算数0万元，决算数29.52万元，预决算差异率100%,主要原因是：2019年为完成自治区文化交流任务，演出人员出国费用开支。</w:t>
      </w:r>
      <w:r>
        <w:rPr>
          <w:rFonts w:ascii="仿宋_GB2312" w:hAnsi="仿宋_GB2312" w:eastAsia="仿宋_GB2312" w:cs="宋体" w:hint="eastAsia"/>
          <w:sz w:val="32"/>
          <w:szCs w:val="32"/>
        </w:rPr>
        <w:t>公务用车购置</w:t>
      </w:r>
      <w:r>
        <w:rPr>
          <w:rFonts w:ascii="仿宋_GB2312" w:hAnsi="仿宋_GB2312" w:eastAsia="仿宋_GB2312" w:hint="eastAsia"/>
          <w:sz w:val="32"/>
          <w:szCs w:val="32"/>
        </w:rPr>
        <w:t>费预算数0万元，决算数0万元</w:t>
      </w:r>
      <w:r>
        <w:rPr>
          <w:rFonts w:ascii="仿宋_GB2312" w:hAnsi="仿宋_GB2312" w:eastAsia="仿宋_GB2312"/>
          <w:sz w:val="32"/>
          <w:szCs w:val="32"/>
        </w:rPr>
        <w:t>,</w:t>
      </w:r>
      <w:r>
        <w:rPr>
          <w:rFonts w:ascii="仿宋_GB2312" w:hAnsi="仿宋_GB2312" w:eastAsia="仿宋_GB2312" w:hint="eastAsia"/>
          <w:sz w:val="32"/>
          <w:szCs w:val="32"/>
        </w:rPr>
        <w:t>预决算差异率0%，主要原因是：2019年无公务用车购置预算及支出；</w:t>
      </w:r>
      <w:r>
        <w:rPr>
          <w:rFonts w:ascii="仿宋_GB2312" w:hAnsi="仿宋_GB2312" w:eastAsia="仿宋_GB2312" w:cs="宋体" w:hint="eastAsia"/>
          <w:sz w:val="32"/>
          <w:szCs w:val="32"/>
        </w:rPr>
        <w:t>公务用车运行费</w:t>
      </w:r>
      <w:r>
        <w:rPr>
          <w:rFonts w:ascii="仿宋_GB2312" w:hAnsi="仿宋_GB2312" w:eastAsia="仿宋_GB2312" w:hint="eastAsia"/>
          <w:sz w:val="32"/>
          <w:szCs w:val="32"/>
        </w:rPr>
        <w:t>预算数436.99万元，决算数208.12万元，预决算差异率</w:t>
      </w:r>
      <w:r>
        <w:rPr>
          <w:rFonts w:ascii="仿宋_GB2312" w:hAnsi="仿宋_GB2312" w:eastAsia="仿宋_GB2312"/>
          <w:sz w:val="32"/>
          <w:szCs w:val="32"/>
        </w:rPr>
        <w:t>-</w:t>
      </w:r>
      <w:r>
        <w:rPr>
          <w:rFonts w:ascii="仿宋_GB2312" w:hAnsi="仿宋_GB2312" w:eastAsia="仿宋_GB2312" w:hint="eastAsia"/>
          <w:sz w:val="32"/>
          <w:szCs w:val="32"/>
        </w:rPr>
        <w:t>52%，主要原因是：大力压减车辆运行成本。</w:t>
      </w:r>
      <w:r>
        <w:rPr>
          <w:rFonts w:ascii="仿宋_GB2312" w:hAnsi="仿宋_GB2312" w:eastAsia="仿宋_GB2312" w:cs="宋体" w:hint="eastAsia"/>
          <w:sz w:val="32"/>
          <w:szCs w:val="32"/>
        </w:rPr>
        <w:t>公务接待费</w:t>
      </w:r>
      <w:r>
        <w:rPr>
          <w:rFonts w:ascii="仿宋_GB2312" w:hAnsi="仿宋_GB2312" w:eastAsia="仿宋_GB2312" w:hint="eastAsia"/>
          <w:sz w:val="32"/>
          <w:szCs w:val="32"/>
        </w:rPr>
        <w:t>预算数11.66万元，决算数3.2万元，预决算差异率</w:t>
      </w:r>
      <w:r>
        <w:rPr>
          <w:rFonts w:ascii="仿宋_GB2312" w:hAnsi="仿宋_GB2312" w:eastAsia="仿宋_GB2312"/>
          <w:sz w:val="32"/>
          <w:szCs w:val="32"/>
        </w:rPr>
        <w:t>-</w:t>
      </w:r>
      <w:r>
        <w:rPr>
          <w:rFonts w:ascii="仿宋_GB2312" w:hAnsi="仿宋_GB2312" w:eastAsia="仿宋_GB2312" w:hint="eastAsia"/>
          <w:sz w:val="32"/>
          <w:szCs w:val="32"/>
        </w:rPr>
        <w:t>72%，主要原因是：减少接待人次，降低接待标准。</w:t>
      </w:r>
      <w:r>
        <w:rPr>
          <w:rFonts w:ascii="仿宋_GB2312" w:hAnsi="仿宋_GB2312" w:eastAsia="仿宋_GB2312"/>
          <w:sz w:val="32"/>
          <w:szCs w:val="32"/>
        </w:rPr>
      </w:r>
    </w:p>
    <w:p>
      <w:pPr>
        <w:ind w:firstLine="640"/>
        <w:spacing w:line="520" w:lineRule="exact"/>
        <w:outlineLvl w:val="1"/>
        <w:rPr>
          <w:rFonts w:ascii="黑体" w:hAnsi="黑体" w:eastAsia="黑体" w:cs="宋体"/>
          <w:bCs/>
          <w:sz w:val="32"/>
          <w:szCs w:val="32"/>
        </w:rPr>
      </w:pPr>
      <w:r/>
      <w:bookmarkStart w:id="20" w:name="_Toc7927"/>
      <w:bookmarkEnd w:id="20"/>
      <w:r/>
      <w:bookmarkStart w:id="21" w:name="_Toc5810"/>
      <w:bookmarkEnd w:id="21"/>
      <w:r/>
      <w:r>
        <w:rPr>
          <w:rFonts w:ascii="黑体" w:hAnsi="黑体" w:eastAsia="黑体" w:cs="宋体" w:hint="eastAsia"/>
          <w:bCs/>
          <w:sz w:val="32"/>
          <w:szCs w:val="32"/>
        </w:rPr>
        <w:t>八、政府性基金预算收入支出决算情况说明</w:t>
      </w:r>
      <w:r>
        <w:rPr>
          <w:rFonts w:ascii="黑体" w:hAnsi="黑体" w:eastAsia="黑体" w:cs="宋体"/>
          <w:bCs/>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我单位本年度无政府性基金预算财政拨款收入支出，政府性基金预算财政拨款收入支出决算表为空表。</w:t>
      </w:r>
      <w:r>
        <w:rPr>
          <w:rFonts w:ascii="仿宋_GB2312" w:hAnsi="仿宋_GB2312" w:eastAsia="仿宋_GB2312"/>
          <w:sz w:val="32"/>
          <w:szCs w:val="32"/>
        </w:rPr>
      </w:r>
    </w:p>
    <w:p>
      <w:pPr>
        <w:ind w:firstLine="640"/>
        <w:spacing w:line="520" w:lineRule="exact"/>
        <w:outlineLvl w:val="1"/>
        <w:rPr>
          <w:rFonts w:ascii="黑体" w:hAnsi="黑体" w:eastAsia="黑体" w:cs="宋体"/>
          <w:bCs/>
          <w:sz w:val="32"/>
          <w:szCs w:val="32"/>
        </w:rPr>
      </w:pPr>
      <w:r/>
      <w:bookmarkStart w:id="22" w:name="_Toc7314"/>
      <w:bookmarkEnd w:id="22"/>
      <w:r/>
      <w:bookmarkStart w:id="23" w:name="_Toc1235"/>
      <w:bookmarkEnd w:id="23"/>
      <w:r/>
      <w:r>
        <w:rPr>
          <w:rFonts w:ascii="黑体" w:hAnsi="黑体" w:eastAsia="黑体" w:cs="宋体" w:hint="eastAsia"/>
          <w:bCs/>
          <w:sz w:val="32"/>
          <w:szCs w:val="32"/>
        </w:rPr>
        <w:t>九、其他重要事项的情况说明</w:t>
      </w:r>
      <w:r>
        <w:rPr>
          <w:rFonts w:ascii="黑体" w:hAnsi="黑体" w:eastAsia="黑体" w:cs="宋体"/>
          <w:bCs/>
          <w:sz w:val="32"/>
          <w:szCs w:val="32"/>
        </w:rPr>
      </w:r>
    </w:p>
    <w:p>
      <w:pPr>
        <w:ind w:firstLine="640"/>
        <w:spacing w:line="520" w:lineRule="exact"/>
        <w:outlineLvl w:val="2"/>
        <w:rPr>
          <w:rFonts w:ascii="黑体" w:hAnsi="黑体" w:eastAsia="黑体"/>
          <w:sz w:val="32"/>
          <w:szCs w:val="32"/>
        </w:rPr>
      </w:pPr>
      <w:r/>
      <w:bookmarkStart w:id="24" w:name="_Toc13105"/>
      <w:bookmarkEnd w:id="24"/>
      <w:r/>
      <w:bookmarkStart w:id="25" w:name="_Toc14519"/>
      <w:bookmarkEnd w:id="25"/>
      <w:r/>
      <w:r>
        <w:rPr>
          <w:rFonts w:ascii="黑体" w:hAnsi="黑体" w:eastAsia="黑体" w:hint="eastAsia"/>
          <w:sz w:val="32"/>
          <w:szCs w:val="32"/>
        </w:rPr>
        <w:t>（一）机关运行经费支出情况</w:t>
      </w:r>
      <w:r>
        <w:rPr>
          <w:rFonts w:ascii="黑体" w:hAnsi="黑体" w:eastAsia="黑体"/>
          <w:sz w:val="32"/>
          <w:szCs w:val="32"/>
        </w:rPr>
      </w:r>
    </w:p>
    <w:p>
      <w:pPr>
        <w:ind w:firstLine="480"/>
        <w:spacing w:line="520" w:lineRule="exact"/>
        <w:pBdr>
          <w:top w:val="none" w:sz="0" w:space="0" w:color="000000"/>
          <w:left w:val="none" w:sz="0" w:space="0" w:color="000000"/>
          <w:bottom w:val="none" w:sz="0" w:space="0" w:color="000000"/>
          <w:right w:val="none" w:sz="0" w:space="0" w:color="000000"/>
          <w:between w:val="none" w:sz="0" w:space="0" w:color="000000"/>
        </w:pBdr>
        <w:shd w:val="clear" w:color="000000" w:fill="FFFFFF"/>
        <w:rPr>
          <w:rFonts w:eastAsia="SimSun"/>
          <w:sz w:val="20"/>
          <w:szCs w:val="20"/>
        </w:rPr>
      </w:pPr>
      <w:r>
        <w:rPr>
          <w:rFonts w:ascii="仿宋_GB2312" w:hAnsi="仿宋_GB2312" w:eastAsia="仿宋_GB2312" w:hint="eastAsia"/>
          <w:sz w:val="32"/>
          <w:szCs w:val="32"/>
        </w:rPr>
        <w:t>2019年度自治区文化和旅游厅一般财政拨款日常公用经费2519.70万元，比上年增加451.08万元，增长21.8%，</w:t>
      </w:r>
      <w:r>
        <w:rPr>
          <w:rFonts w:ascii="仿宋" w:hAnsi="仿宋" w:eastAsia="仿宋" w:cs="仿宋"/>
          <w:sz w:val="32"/>
          <w:szCs w:val="32"/>
        </w:rPr>
        <w:t>主要原因是：</w:t>
      </w:r>
      <w:r>
        <w:rPr>
          <w:rFonts w:ascii="仿宋" w:hAnsi="仿宋" w:eastAsia="仿宋" w:cs="仿宋" w:hint="eastAsia"/>
          <w:sz w:val="32"/>
          <w:szCs w:val="32"/>
        </w:rPr>
        <w:t>自治区文化和旅游厅</w:t>
      </w:r>
      <w:r>
        <w:rPr>
          <w:rFonts w:ascii="仿宋_GB2312" w:hAnsi="仿宋_GB2312" w:eastAsia="仿宋_GB2312" w:hint="eastAsia"/>
          <w:sz w:val="32"/>
          <w:szCs w:val="32"/>
        </w:rPr>
        <w:t>所属事业单位日常公用经费比上年增幅较大，增长22.7%</w:t>
      </w:r>
      <w:r>
        <w:rPr>
          <w:rFonts w:ascii="仿宋_GB2312" w:hAnsi="仿宋_GB2312" w:eastAsia="仿宋_GB2312"/>
          <w:sz w:val="32"/>
          <w:szCs w:val="32"/>
        </w:rPr>
        <w:t>,</w:t>
      </w:r>
      <w:r>
        <w:rPr>
          <w:rFonts w:ascii="仿宋_GB2312" w:hAnsi="仿宋_GB2312" w:eastAsia="仿宋_GB2312" w:hint="eastAsia"/>
          <w:sz w:val="32"/>
          <w:szCs w:val="32"/>
        </w:rPr>
        <w:t>主要是办公费、印刷费、水费电费、物业管理费等支出增加。</w:t>
      </w:r>
      <w:r>
        <w:rPr>
          <w:rFonts w:eastAsia="SimSun"/>
          <w:sz w:val="20"/>
          <w:szCs w:val="20"/>
        </w:rPr>
      </w:r>
    </w:p>
    <w:p>
      <w:pPr>
        <w:ind w:firstLine="640"/>
        <w:spacing w:line="520" w:lineRule="exact"/>
        <w:outlineLvl w:val="2"/>
        <w:rPr>
          <w:rFonts w:ascii="黑体" w:hAnsi="黑体" w:eastAsia="黑体"/>
          <w:sz w:val="32"/>
          <w:szCs w:val="32"/>
        </w:rPr>
      </w:pPr>
      <w:r/>
      <w:bookmarkStart w:id="26" w:name="_Toc26704"/>
      <w:bookmarkEnd w:id="26"/>
      <w:r/>
      <w:bookmarkStart w:id="27" w:name="_Toc227"/>
      <w:bookmarkEnd w:id="27"/>
      <w:r/>
      <w:r>
        <w:rPr>
          <w:rFonts w:ascii="黑体" w:hAnsi="黑体" w:eastAsia="黑体" w:hint="eastAsia"/>
          <w:sz w:val="32"/>
          <w:szCs w:val="32"/>
        </w:rPr>
        <w:t>（二）政府采购情况</w:t>
      </w:r>
      <w:r>
        <w:rPr>
          <w:rFonts w:ascii="黑体" w:hAnsi="黑体" w:eastAsia="黑体"/>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2019年度政府采购支出总额8843.68万元，其中：政府采购货物支出2101.84万元、政府采购工程支出2963.39万元、政府采购服务支出3378.44万元。</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授予中小企业合同金额7934.1万元，占政府采购支出总额的89.7%，其中：授予小微企业合同金额6274.12万元，占政府采购支出总额的70.9%。</w:t>
      </w:r>
      <w:r>
        <w:rPr>
          <w:rFonts w:ascii="仿宋_GB2312" w:hAnsi="仿宋_GB2312" w:eastAsia="仿宋_GB2312"/>
          <w:sz w:val="32"/>
          <w:szCs w:val="32"/>
        </w:rPr>
      </w:r>
    </w:p>
    <w:p>
      <w:pPr>
        <w:ind w:firstLine="640"/>
        <w:spacing w:line="520" w:lineRule="exact"/>
        <w:outlineLvl w:val="2"/>
        <w:rPr>
          <w:rFonts w:ascii="黑体" w:hAnsi="黑体" w:eastAsia="黑体"/>
          <w:sz w:val="32"/>
          <w:szCs w:val="32"/>
        </w:rPr>
      </w:pPr>
      <w:r/>
      <w:bookmarkStart w:id="28" w:name="_Toc4591"/>
      <w:bookmarkEnd w:id="28"/>
      <w:r/>
      <w:bookmarkStart w:id="29" w:name="_Toc8391"/>
      <w:bookmarkEnd w:id="29"/>
      <w:r/>
      <w:r>
        <w:rPr>
          <w:rFonts w:ascii="黑体" w:hAnsi="黑体" w:eastAsia="黑体" w:hint="eastAsia"/>
          <w:sz w:val="32"/>
          <w:szCs w:val="32"/>
        </w:rPr>
        <w:t>（三）国有资产占用情况说明</w:t>
      </w:r>
      <w:r>
        <w:rPr>
          <w:rFonts w:ascii="黑体" w:hAnsi="黑体" w:eastAsia="黑体"/>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截止2019年12月31日，单位共有房屋127579.2（平方米），价值18672.64万元。车辆136辆，价值4271.82万元，其中：副部（省）级及以上领导用车0辆、主要领导干部用车7辆、机要通信用车2辆、应急保障用车0辆、执法执勤用车6辆、特种专业技术用车3辆、离退休干部用车1辆、其他用车117辆，其他用车主要是：</w:t>
      </w:r>
      <w:r>
        <w:rPr>
          <w:rFonts w:ascii="仿宋" w:hAnsi="仿宋" w:eastAsia="仿宋" w:cs="仿宋" w:hint="eastAsia"/>
          <w:color w:val="353535"/>
          <w:sz w:val="32"/>
          <w:szCs w:val="32"/>
        </w:rPr>
        <w:t>流动图书车、流动博物馆展示车、用于考古发掘专用车、文物普查保护用车、大轿车、下乡演出拉道具设备用车等</w:t>
      </w:r>
      <w:r>
        <w:rPr>
          <w:rFonts w:ascii="仿宋" w:hAnsi="仿宋" w:eastAsia="仿宋" w:cs="仿宋" w:hint="eastAsia"/>
          <w:sz w:val="32"/>
          <w:szCs w:val="32"/>
        </w:rPr>
        <w:t>；</w:t>
      </w:r>
      <w:r>
        <w:rPr>
          <w:rFonts w:ascii="仿宋_GB2312" w:hAnsi="仿宋_GB2312" w:eastAsia="仿宋_GB2312" w:hint="eastAsia"/>
          <w:sz w:val="32"/>
          <w:szCs w:val="32"/>
        </w:rPr>
        <w:t>单位价值50万元以上通用设备17台（套）、单位价值100万元以上专用设备2台（套）。</w:t>
      </w:r>
      <w:r>
        <w:rPr>
          <w:rFonts w:ascii="仿宋_GB2312" w:hAnsi="仿宋_GB2312" w:eastAsia="仿宋_GB2312"/>
          <w:sz w:val="32"/>
          <w:szCs w:val="32"/>
        </w:rPr>
      </w:r>
    </w:p>
    <w:p>
      <w:pPr>
        <w:ind w:firstLine="640"/>
        <w:spacing w:line="520" w:lineRule="exact"/>
        <w:outlineLvl w:val="1"/>
        <w:rPr>
          <w:rFonts w:ascii="黑体" w:hAnsi="黑体" w:eastAsia="黑体" w:cs="宋体"/>
          <w:bCs/>
          <w:sz w:val="32"/>
          <w:szCs w:val="32"/>
        </w:rPr>
      </w:pPr>
      <w:r/>
      <w:bookmarkStart w:id="30" w:name="_Toc435"/>
      <w:bookmarkEnd w:id="30"/>
      <w:r/>
      <w:bookmarkStart w:id="31" w:name="_Toc11283"/>
      <w:bookmarkEnd w:id="31"/>
      <w:r/>
      <w:r>
        <w:rPr>
          <w:rFonts w:ascii="黑体" w:hAnsi="黑体" w:eastAsia="黑体" w:cs="宋体" w:hint="eastAsia"/>
          <w:bCs/>
          <w:sz w:val="32"/>
          <w:szCs w:val="32"/>
        </w:rPr>
        <w:t>十、预算绩效的情况说明</w:t>
      </w:r>
      <w:r>
        <w:rPr>
          <w:rFonts w:ascii="黑体" w:hAnsi="黑体" w:eastAsia="黑体" w:cs="宋体"/>
          <w:bCs/>
          <w:sz w:val="32"/>
          <w:szCs w:val="32"/>
        </w:rPr>
      </w:r>
    </w:p>
    <w:p>
      <w:pPr>
        <w:ind w:firstLine="640"/>
        <w:spacing w:line="520" w:lineRule="exact"/>
        <w:rPr>
          <w:rFonts w:ascii="仿宋" w:hAnsi="仿宋" w:eastAsia="仿宋"/>
          <w:sz w:val="32"/>
          <w:szCs w:val="32"/>
        </w:rPr>
      </w:pPr>
      <w:r>
        <w:rPr>
          <w:rFonts w:ascii="仿宋_GB2312" w:hAnsi="仿宋_GB2312" w:eastAsia="仿宋_GB2312" w:hint="eastAsia"/>
          <w:sz w:val="32"/>
          <w:szCs w:val="32"/>
        </w:rPr>
        <w:t>根据预算绩效管理要求，我单位2019年度开展预算绩效评价项</w:t>
      </w:r>
      <w:r>
        <w:rPr>
          <w:rFonts w:ascii="仿宋_GB2312" w:hAnsi="仿宋_GB2312" w:eastAsia="仿宋_GB2312"/>
          <w:sz w:val="32"/>
          <w:szCs w:val="32"/>
        </w:rPr>
        <w:t>58</w:t>
      </w:r>
      <w:r>
        <w:rPr>
          <w:rFonts w:ascii="仿宋_GB2312" w:hAnsi="仿宋_GB2312" w:eastAsia="仿宋_GB2312" w:hint="eastAsia"/>
          <w:sz w:val="32"/>
          <w:szCs w:val="32"/>
        </w:rPr>
        <w:t>个，共涉及资金</w:t>
      </w:r>
      <w:r>
        <w:rPr>
          <w:rFonts w:ascii="仿宋_GB2312" w:hAnsi="仿宋_GB2312" w:eastAsia="仿宋_GB2312"/>
          <w:sz w:val="32"/>
          <w:szCs w:val="32"/>
        </w:rPr>
        <w:t>16272.2</w:t>
      </w:r>
      <w:r>
        <w:rPr>
          <w:rFonts w:ascii="仿宋_GB2312" w:hAnsi="仿宋_GB2312" w:eastAsia="仿宋_GB2312" w:hint="eastAsia"/>
          <w:sz w:val="32"/>
          <w:szCs w:val="32"/>
        </w:rPr>
        <w:t>万元。预算绩效管理取得的成效是</w:t>
      </w:r>
      <w:r>
        <w:rPr>
          <w:rFonts w:ascii="仿宋" w:hAnsi="仿宋" w:eastAsia="仿宋" w:cs="仿宋_GB2312" w:hint="eastAsia"/>
          <w:sz w:val="32"/>
          <w:szCs w:val="32"/>
        </w:rPr>
        <w:t>，单位资金运行维护决策正确，资金管理规范，项目管理到位，政策执行有力，有效发挥了财政资金的使用效率；在预算执行方面，支出总额控制在预算总额以内；</w:t>
      </w:r>
      <w:r>
        <w:rPr>
          <w:rFonts w:ascii="仿宋_GB2312" w:hAnsi="仿宋_GB2312" w:eastAsia="仿宋_GB2312" w:hint="eastAsia"/>
          <w:sz w:val="32"/>
          <w:szCs w:val="32"/>
        </w:rPr>
        <w:t>在</w:t>
      </w:r>
      <w:r>
        <w:rPr>
          <w:rFonts w:ascii="仿宋" w:hAnsi="仿宋" w:eastAsia="仿宋" w:hint="eastAsia"/>
          <w:sz w:val="32"/>
          <w:szCs w:val="32"/>
        </w:rPr>
        <w:t>成本控制方面</w:t>
      </w:r>
      <w:r>
        <w:rPr>
          <w:rFonts w:ascii="仿宋" w:hAnsi="仿宋" w:eastAsia="仿宋" w:hint="eastAsia"/>
          <w:b/>
          <w:bCs/>
          <w:sz w:val="32"/>
          <w:szCs w:val="32"/>
        </w:rPr>
        <w:t>，</w:t>
      </w:r>
      <w:r>
        <w:rPr>
          <w:rFonts w:ascii="仿宋" w:hAnsi="仿宋" w:eastAsia="仿宋" w:hint="eastAsia"/>
          <w:sz w:val="32"/>
          <w:szCs w:val="32"/>
        </w:rPr>
        <w:t xml:space="preserve">我单位严格按照项目资金用途使用资金做到专款专用。实施预算绩效管理，使预算执行部门充分认识到项目资金的重要性和特殊性,以高度的责任感和使命感管好用好每一分钱,使资金的安排、使用发挥出最大效益,实现项目绩效目标。 </w:t>
      </w:r>
      <w:r>
        <w:rPr>
          <w:rFonts w:ascii="仿宋" w:hAnsi="仿宋" w:eastAsia="仿宋"/>
          <w:sz w:val="32"/>
          <w:szCs w:val="32"/>
        </w:rPr>
      </w:r>
    </w:p>
    <w:p>
      <w:pPr>
        <w:ind w:firstLine="640"/>
        <w:spacing w:line="520" w:lineRule="exact"/>
        <w:rPr>
          <w:sz w:val="20"/>
          <w:szCs w:val="20"/>
        </w:rPr>
      </w:pPr>
      <w:r>
        <w:rPr>
          <w:rFonts w:ascii="仿宋_GB2312" w:hAnsi="仿宋_GB2312" w:eastAsia="仿宋_GB2312" w:hint="eastAsia"/>
          <w:sz w:val="32"/>
          <w:szCs w:val="32"/>
        </w:rPr>
        <w:t>发现的问题及原因</w:t>
      </w:r>
      <w:r/>
      <w:bookmarkStart w:id="32" w:name="_Toc24143"/>
      <w:bookmarkEnd w:id="32"/>
      <w:r/>
      <w:bookmarkStart w:id="33" w:name="_Toc3250"/>
      <w:bookmarkEnd w:id="33"/>
      <w:r/>
      <w:r>
        <w:rPr>
          <w:rFonts w:ascii="仿宋_GB2312" w:hAnsi="仿宋_GB2312" w:eastAsia="仿宋_GB2312" w:hint="eastAsia"/>
          <w:sz w:val="32"/>
          <w:szCs w:val="32"/>
        </w:rPr>
        <w:t>：</w:t>
      </w:r>
      <w:r>
        <w:rPr>
          <w:sz w:val="20"/>
          <w:szCs w:val="20"/>
        </w:rPr>
      </w:r>
    </w:p>
    <w:p>
      <w:pPr>
        <w:ind w:firstLine="640"/>
        <w:spacing w:line="520" w:lineRule="exact"/>
        <w:widowControl/>
        <w:rPr>
          <w:sz w:val="20"/>
          <w:szCs w:val="20"/>
        </w:rPr>
      </w:pPr>
      <w:r>
        <w:rPr>
          <w:rFonts w:ascii="仿宋" w:hAnsi="仿宋" w:eastAsia="仿宋" w:hint="eastAsia"/>
          <w:b/>
          <w:bCs/>
          <w:sz w:val="32"/>
          <w:szCs w:val="32"/>
        </w:rPr>
        <w:t>（一）绩效管理理念有待进一步增强</w:t>
      </w:r>
      <w:r>
        <w:rPr>
          <w:sz w:val="20"/>
          <w:szCs w:val="20"/>
        </w:rPr>
      </w:r>
    </w:p>
    <w:p>
      <w:pPr>
        <w:ind w:firstLine="640"/>
        <w:spacing w:line="520" w:lineRule="exact"/>
        <w:widowControl/>
        <w:rPr>
          <w:sz w:val="20"/>
          <w:szCs w:val="20"/>
        </w:rPr>
      </w:pPr>
      <w:r>
        <w:rPr>
          <w:rFonts w:ascii="仿宋_GB2312" w:hAnsi="仿宋_GB2312" w:eastAsia="仿宋_GB2312" w:hint="eastAsia"/>
          <w:sz w:val="32"/>
          <w:szCs w:val="32"/>
        </w:rPr>
        <w:t>系统各单位（处室）对预算绩效管理理念虽有了一定的了解，但长期形成的“重安排，轻监督;重争取，轻管理;重使用，轻绩效”的思想改变依然在路上，重产出、重结果的绩效管理理念深入人心任重道远。个别处室对预算绩效管理工作重视不够，缺乏主动性，没有将绩效管理工作作为日常性重要工作来抓。在推进文化和旅游事业的发展中，项目的规模、类型以及所产生的效果都会有所不同和差别，变“要我评价”为“我要评价”，是推进预算绩效管理急需解决的“瓶颈”，根据不同的项目特点和性质采用相应的评估机制还需要进一步加强研究和探索</w:t>
      </w:r>
      <w:r>
        <w:rPr>
          <w:sz w:val="20"/>
          <w:szCs w:val="20"/>
        </w:rPr>
      </w:r>
    </w:p>
    <w:p>
      <w:pPr>
        <w:ind w:firstLine="640"/>
        <w:spacing w:line="520" w:lineRule="exact"/>
        <w:widowControl/>
        <w:rPr>
          <w:sz w:val="20"/>
          <w:szCs w:val="20"/>
        </w:rPr>
      </w:pPr>
      <w:r>
        <w:rPr>
          <w:rFonts w:ascii="仿宋" w:hAnsi="仿宋" w:eastAsia="仿宋" w:hint="eastAsia"/>
          <w:b/>
          <w:bCs/>
          <w:sz w:val="32"/>
          <w:szCs w:val="32"/>
        </w:rPr>
        <w:t>（二）规范的预算绩效管理模式还处于起步阶段</w:t>
      </w:r>
      <w:r>
        <w:rPr>
          <w:sz w:val="20"/>
          <w:szCs w:val="20"/>
        </w:rPr>
      </w:r>
    </w:p>
    <w:p>
      <w:pPr>
        <w:ind w:firstLine="640"/>
        <w:spacing w:line="520" w:lineRule="exact"/>
        <w:widowControl/>
        <w:rPr>
          <w:sz w:val="20"/>
          <w:szCs w:val="20"/>
        </w:rPr>
      </w:pPr>
      <w:r>
        <w:rPr>
          <w:rFonts w:ascii="仿宋_GB2312" w:hAnsi="仿宋_GB2312" w:eastAsia="仿宋_GB2312" w:hint="eastAsia"/>
          <w:sz w:val="32"/>
          <w:szCs w:val="32"/>
        </w:rPr>
        <w:t>预算编制过程中的绩效目标确定、预算执行过程中的绩效监控、绩效评价结果的应用等规范的预算绩效管理模式还需要深入探索。</w:t>
      </w:r>
      <w:r>
        <w:rPr>
          <w:sz w:val="20"/>
          <w:szCs w:val="20"/>
        </w:rPr>
      </w:r>
    </w:p>
    <w:p>
      <w:pPr>
        <w:ind w:firstLine="640"/>
        <w:spacing w:line="520" w:lineRule="exact"/>
        <w:widowControl/>
        <w:rPr>
          <w:sz w:val="20"/>
          <w:szCs w:val="20"/>
        </w:rPr>
      </w:pPr>
      <w:r>
        <w:rPr>
          <w:rFonts w:ascii="仿宋" w:hAnsi="仿宋" w:eastAsia="仿宋" w:hint="eastAsia"/>
          <w:b/>
          <w:bCs/>
          <w:sz w:val="32"/>
          <w:szCs w:val="32"/>
        </w:rPr>
        <w:t>（三）预算绩效管理基础工作有待强化</w:t>
      </w:r>
      <w:r>
        <w:rPr>
          <w:sz w:val="20"/>
          <w:szCs w:val="20"/>
        </w:rPr>
      </w:r>
    </w:p>
    <w:p>
      <w:pPr>
        <w:ind w:firstLine="640"/>
        <w:spacing w:line="520" w:lineRule="exact"/>
        <w:widowControl/>
        <w:rPr>
          <w:sz w:val="20"/>
          <w:szCs w:val="20"/>
        </w:rPr>
      </w:pPr>
      <w:r>
        <w:rPr>
          <w:rFonts w:ascii="仿宋_GB2312" w:hAnsi="仿宋_GB2312" w:eastAsia="仿宋_GB2312" w:hint="eastAsia"/>
          <w:sz w:val="32"/>
          <w:szCs w:val="32"/>
        </w:rPr>
        <w:t>一是绩效评价指标体系还不够完善，评价指标设定的科学性有待加强;绩效评价方法相对单一，主要应用横向比较法、预定目标与实施效果比较法等，而其他方法，如指标因素分析法应用不够广泛、灵活。二是预算绩效管理的基础数据、基础信息的搜集、整理、分析工作需要进一步加强。</w:t>
      </w:r>
      <w:r>
        <w:rPr>
          <w:sz w:val="20"/>
          <w:szCs w:val="20"/>
        </w:rPr>
      </w:r>
    </w:p>
    <w:p>
      <w:pPr>
        <w:ind w:firstLine="640"/>
        <w:spacing w:line="520" w:lineRule="exact"/>
        <w:widowControl/>
        <w:rPr>
          <w:sz w:val="20"/>
          <w:szCs w:val="20"/>
        </w:rPr>
      </w:pPr>
      <w:r>
        <w:rPr>
          <w:rFonts w:ascii="仿宋_GB2312" w:hAnsi="仿宋_GB2312" w:eastAsia="仿宋_GB2312" w:hint="eastAsia"/>
          <w:sz w:val="32"/>
          <w:szCs w:val="32"/>
        </w:rPr>
        <w:t>（</w:t>
      </w:r>
      <w:r>
        <w:rPr>
          <w:rFonts w:ascii="仿宋" w:hAnsi="仿宋" w:eastAsia="仿宋" w:hint="eastAsia"/>
          <w:b/>
          <w:bCs/>
          <w:sz w:val="32"/>
          <w:szCs w:val="32"/>
        </w:rPr>
        <w:t>四）绩效评价质量有待提高</w:t>
      </w:r>
      <w:r>
        <w:rPr>
          <w:sz w:val="20"/>
          <w:szCs w:val="20"/>
        </w:rPr>
      </w:r>
    </w:p>
    <w:p>
      <w:pPr>
        <w:ind w:firstLine="640"/>
        <w:spacing w:line="520" w:lineRule="exact"/>
        <w:widowControl/>
        <w:rPr>
          <w:sz w:val="20"/>
          <w:szCs w:val="20"/>
        </w:rPr>
      </w:pPr>
      <w:r>
        <w:rPr>
          <w:rFonts w:ascii="仿宋_GB2312" w:hAnsi="仿宋_GB2312" w:eastAsia="仿宋_GB2312" w:hint="eastAsia"/>
          <w:sz w:val="32"/>
          <w:szCs w:val="32"/>
        </w:rPr>
        <w:t xml:space="preserve">绩效评价结果大多停留在反映情况和问题的层面，其权威性、公信力、实用性不足，加上绩效管理未与预算编制充分结合等原因，评价结果约束力不强，绩效评价往往流于形式，难以做到与规范预算管理、完善预算编制、提升预算管理能力以及提高财政资金使用效益等方面真正有效衔接。 </w:t>
      </w:r>
      <w:r>
        <w:rPr>
          <w:sz w:val="20"/>
          <w:szCs w:val="20"/>
        </w:rPr>
      </w:r>
    </w:p>
    <w:p>
      <w:pPr>
        <w:ind w:firstLine="640"/>
        <w:spacing w:line="520" w:lineRule="exact"/>
        <w:widowControl/>
        <w:rPr>
          <w:sz w:val="20"/>
          <w:szCs w:val="20"/>
        </w:rPr>
      </w:pPr>
      <w:r>
        <w:rPr>
          <w:rFonts w:ascii="仿宋" w:hAnsi="仿宋" w:eastAsia="仿宋" w:hint="eastAsia"/>
          <w:b/>
          <w:bCs/>
          <w:sz w:val="32"/>
          <w:szCs w:val="32"/>
        </w:rPr>
        <w:t>（五）资金拨付与绩效管理的衔接有待补强</w:t>
      </w:r>
      <w:r>
        <w:rPr>
          <w:sz w:val="20"/>
          <w:szCs w:val="20"/>
        </w:rPr>
      </w:r>
    </w:p>
    <w:p>
      <w:pPr>
        <w:ind w:firstLine="640"/>
        <w:spacing w:line="520" w:lineRule="exact"/>
        <w:widowControl/>
        <w:rPr>
          <w:sz w:val="20"/>
          <w:szCs w:val="20"/>
        </w:rPr>
      </w:pPr>
      <w:r>
        <w:rPr>
          <w:rFonts w:ascii="仿宋_GB2312" w:hAnsi="仿宋_GB2312" w:eastAsia="仿宋_GB2312" w:hint="eastAsia"/>
          <w:sz w:val="32"/>
          <w:szCs w:val="32"/>
        </w:rPr>
        <w:t>年度部分预算资金拨付不及时，又要加快资金使用进度，又要完善绩效全流程管理，往往无法兼顾，间接地影响资金的支付以及执行进度。</w:t>
      </w:r>
      <w:r>
        <w:rPr>
          <w:sz w:val="20"/>
          <w:szCs w:val="20"/>
        </w:rPr>
      </w:r>
    </w:p>
    <w:p>
      <w:pPr>
        <w:ind w:firstLine="640"/>
        <w:spacing w:line="520" w:lineRule="exact"/>
        <w:widowControl/>
        <w:rPr>
          <w:rFonts w:ascii="仿宋" w:hAnsi="仿宋" w:eastAsia="仿宋" w:cs="宋体"/>
          <w:b/>
          <w:sz w:val="24"/>
        </w:rPr>
      </w:pPr>
      <w:r>
        <w:rPr>
          <w:rFonts w:ascii="仿宋" w:hAnsi="仿宋" w:eastAsia="仿宋" w:cs="宋体" w:hint="eastAsia"/>
          <w:b/>
          <w:bCs/>
          <w:sz w:val="32"/>
          <w:szCs w:val="32"/>
        </w:rPr>
        <w:t>改进措施和建议：</w:t>
      </w:r>
      <w:r>
        <w:rPr>
          <w:rFonts w:ascii="仿宋" w:hAnsi="仿宋" w:eastAsia="仿宋" w:cs="宋体"/>
          <w:b/>
          <w:sz w:val="24"/>
        </w:rPr>
      </w:r>
    </w:p>
    <w:p>
      <w:pPr>
        <w:ind w:firstLine="640"/>
        <w:spacing w:line="520" w:lineRule="exact"/>
        <w:widowControl/>
        <w:rPr>
          <w:sz w:val="20"/>
          <w:szCs w:val="20"/>
        </w:rPr>
      </w:pPr>
      <w:r>
        <w:rPr>
          <w:rFonts w:ascii="仿宋_GB2312" w:hAnsi="仿宋_GB2312" w:eastAsia="仿宋_GB2312" w:hint="eastAsia"/>
          <w:sz w:val="32"/>
          <w:szCs w:val="32"/>
        </w:rPr>
        <w:t>我们将在总结2019年工作的基础上，着力抓好以下工作：</w:t>
      </w:r>
      <w:r>
        <w:rPr>
          <w:sz w:val="20"/>
          <w:szCs w:val="20"/>
        </w:rPr>
      </w:r>
    </w:p>
    <w:p>
      <w:pPr>
        <w:ind w:firstLine="640"/>
        <w:spacing w:line="520" w:lineRule="exact"/>
        <w:widowControl/>
        <w:rPr>
          <w:sz w:val="20"/>
          <w:szCs w:val="20"/>
        </w:rPr>
      </w:pPr>
      <w:r>
        <w:rPr>
          <w:rFonts w:ascii="仿宋_GB2312" w:hAnsi="仿宋_GB2312" w:eastAsia="仿宋_GB2312" w:hint="eastAsia"/>
          <w:sz w:val="32"/>
          <w:szCs w:val="32"/>
        </w:rPr>
        <w:t>（一）探索行业绩效的规范体系。根据文化和旅游事业发展要求，研究探索文化和旅游的政策及项目，分类型、分层次确保相同类别、相同类型的政策和项目具有一致性和比对性，构建规范、标准的绩效指标体系。完善管理流程，明确各部门的责任，建立起适合本系统的全员、全过程、全覆盖的预算绩效管理体系。</w:t>
      </w:r>
      <w:r>
        <w:rPr>
          <w:sz w:val="20"/>
          <w:szCs w:val="20"/>
        </w:rPr>
      </w:r>
    </w:p>
    <w:p>
      <w:pPr>
        <w:ind w:firstLine="640"/>
        <w:spacing w:line="520" w:lineRule="exact"/>
        <w:widowControl/>
        <w:rPr>
          <w:sz w:val="20"/>
          <w:szCs w:val="20"/>
        </w:rPr>
      </w:pPr>
      <w:r>
        <w:rPr>
          <w:rFonts w:ascii="仿宋_GB2312" w:hAnsi="仿宋_GB2312" w:eastAsia="仿宋_GB2312" w:hint="eastAsia"/>
          <w:sz w:val="32"/>
          <w:szCs w:val="32"/>
        </w:rPr>
        <w:t>（二）完善预算绩效的管理流程。将绩效目标的设置、监控、评价和应用贯穿于政策或项目的全流程管理当中，形成统一的管理体系和动态调控体系。保证绩效目标更能够切合实际，完善绩效目标的提升和完成。加强国家、自治区相关预算绩效管理的规章制度的学习和培训，及时掌握新政策、新要求、新技能，真正把预算绩效管理融入实际工作中。</w:t>
      </w:r>
      <w:r>
        <w:rPr>
          <w:sz w:val="20"/>
          <w:szCs w:val="20"/>
        </w:rPr>
      </w:r>
    </w:p>
    <w:p>
      <w:pPr>
        <w:ind w:firstLine="640"/>
        <w:spacing w:line="520" w:lineRule="exact"/>
        <w:widowControl/>
        <w:rPr>
          <w:sz w:val="20"/>
          <w:szCs w:val="20"/>
        </w:rPr>
      </w:pPr>
      <w:r>
        <w:rPr>
          <w:rFonts w:ascii="仿宋_GB2312" w:hAnsi="仿宋_GB2312" w:eastAsia="仿宋_GB2312" w:hint="eastAsia"/>
          <w:sz w:val="32"/>
          <w:szCs w:val="32"/>
        </w:rPr>
        <w:t>（三）有计划分步骤地构建绩效体系建设。一是积极对接财政要求，将财政的指标体系同单位(部门)的体系有机地结合，保证预算绩效管理的统一性和适应性。二是为硬化预算绩效管理，提供充分可信的管理依据，明确责任约束和强化激励约束。三是按照预算编制、执行、监督和评价“四位一体”的要求，建立以绩效结果为导向，以制度建设为保障，以绩效目标为依据的综合性评估评价的绩效管理体系。四是沟通协调，在广泛征求意见、充分沟通协调的基础上，综合考虑产出、成本、经济效益、社会效益、生态效益、可持续影响、服务对象满意度等绩效指标，设立单位整体绩效目标和项目绩效目标，不断完善规章制度，提升内部管理水平，使预算编制更符合实际，促进文旅事业的持续健康发展。</w:t>
      </w:r>
      <w:r>
        <w:rPr>
          <w:sz w:val="20"/>
          <w:szCs w:val="20"/>
        </w:rPr>
      </w:r>
    </w:p>
    <w:p>
      <w:pPr>
        <w:ind w:firstLine="640"/>
        <w:spacing w:line="520" w:lineRule="exact"/>
        <w:widowControl/>
        <w:rPr>
          <w:sz w:val="20"/>
          <w:szCs w:val="20"/>
        </w:rPr>
      </w:pPr>
      <w:r>
        <w:rPr>
          <w:rFonts w:ascii="仿宋_GB2312" w:hAnsi="仿宋_GB2312" w:eastAsia="仿宋_GB2312" w:hint="eastAsia"/>
          <w:sz w:val="32"/>
          <w:szCs w:val="32"/>
        </w:rPr>
        <w:t>（四）推进项目支出绩效运行监控管理，对绩效目标运行情况跟踪管理和督促检查，促进绩效目标顺利实现。2020年的项目按进度执行，严格按照财政部门要求，积极落实中央关于全面实施预算绩效管理的决策部署和自治区党委工作要求，稳妥地推进全厅系统预算绩效管理工作。</w:t>
      </w:r>
      <w:r>
        <w:rPr>
          <w:sz w:val="20"/>
          <w:szCs w:val="20"/>
        </w:rPr>
      </w:r>
    </w:p>
    <w:p>
      <w:pPr>
        <w:ind w:firstLine="640"/>
        <w:spacing w:line="520" w:lineRule="exact"/>
        <w:widowControl/>
        <w:rPr>
          <w:sz w:val="20"/>
          <w:szCs w:val="20"/>
        </w:rPr>
      </w:pPr>
      <w:r>
        <w:rPr>
          <w:rFonts w:ascii="仿宋_GB2312" w:hAnsi="仿宋_GB2312" w:eastAsia="仿宋_GB2312" w:hint="eastAsia"/>
          <w:sz w:val="32"/>
          <w:szCs w:val="32"/>
        </w:rPr>
        <w:t>（五）进一步加强预算项目支出绩效评价工作，把评价结果应用作为全过程预算绩效管理落脚点，及时管理、归纳、反馈绩效评价结果。</w:t>
      </w:r>
      <w:r>
        <w:rPr>
          <w:sz w:val="20"/>
          <w:szCs w:val="20"/>
        </w:rPr>
      </w:r>
    </w:p>
    <w:p>
      <w:pPr>
        <w:ind w:firstLine="640"/>
        <w:spacing w:line="520" w:lineRule="exact"/>
        <w:widowControl/>
        <w:rPr>
          <w:rFonts w:ascii="仿宋_GB2312" w:hAnsi="仿宋_GB2312" w:eastAsia="仿宋_GB2312"/>
          <w:sz w:val="32"/>
          <w:szCs w:val="32"/>
        </w:rPr>
      </w:pPr>
      <w:r>
        <w:rPr>
          <w:rFonts w:ascii="仿宋_GB2312" w:hAnsi="仿宋_GB2312" w:eastAsia="仿宋_GB2312" w:hint="eastAsia"/>
          <w:sz w:val="32"/>
          <w:szCs w:val="32"/>
        </w:rPr>
        <w:t>（六）紧密配合自治区财政厅及上级部门，督促指导各项目执行进度和质量，加强资金监管，使资金效益最大化。紧紧围绕新疆工作总目标，以文旅融合为着力点，强化组织领导，增强绩效管理目标性和时效性，在资金使用和监管方面更全面系统。</w:t>
      </w:r>
      <w:r>
        <w:rPr>
          <w:rFonts w:ascii="仿宋_GB2312" w:hAnsi="仿宋_GB2312" w:eastAsia="仿宋_GB2312"/>
          <w:sz w:val="32"/>
          <w:szCs w:val="32"/>
        </w:rPr>
      </w:r>
    </w:p>
    <w:p>
      <w:pPr>
        <w:ind w:firstLine="640"/>
        <w:spacing w:line="520" w:lineRule="exact"/>
        <w:widowControl/>
        <w:rPr>
          <w:rFonts w:ascii="仿宋_GB2312" w:hAnsi="仿宋_GB2312" w:eastAsia="仿宋_GB2312"/>
          <w:sz w:val="32"/>
          <w:szCs w:val="32"/>
        </w:rPr>
      </w:pPr>
      <w:r>
        <w:rPr>
          <w:rFonts w:ascii="仿宋_GB2312" w:hAnsi="仿宋_GB2312" w:eastAsia="仿宋_GB2312" w:hint="eastAsia"/>
          <w:sz w:val="32"/>
          <w:szCs w:val="32"/>
        </w:rPr>
        <w:t>具体项目自评情况附项目支出绩效自评表。</w:t>
      </w:r>
      <w:r>
        <w:rPr>
          <w:rFonts w:ascii="仿宋_GB2312" w:hAnsi="仿宋_GB2312" w:eastAsia="仿宋_GB2312"/>
          <w:sz w:val="32"/>
          <w:szCs w:val="32"/>
        </w:rPr>
      </w:r>
    </w:p>
    <w:p>
      <w:pPr>
        <w:ind w:firstLine="640"/>
        <w:spacing w:line="520" w:lineRule="exact"/>
        <w:rPr>
          <w:rFonts w:ascii="黑体" w:hAnsi="黑体" w:eastAsia="黑体"/>
          <w:sz w:val="32"/>
          <w:szCs w:val="32"/>
        </w:rPr>
      </w:pPr>
      <w:r>
        <w:rPr>
          <w:rFonts w:ascii="黑体" w:hAnsi="黑体" w:eastAsia="黑体" w:hint="eastAsia"/>
          <w:sz w:val="32"/>
          <w:szCs w:val="32"/>
        </w:rPr>
        <w:t>第三部分 专业名词解释</w:t>
      </w:r>
      <w:r>
        <w:rPr>
          <w:rFonts w:ascii="黑体" w:hAnsi="黑体" w:eastAsia="黑体"/>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财政拨款收入：指同级财政当年拨付的资金。</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上级补助收入：指事业单位从主管部门和上级单位取得的非财政补助收入。</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事业收入：指事业单位开展专业业务活动及其辅助活动所取得的收入。</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经营收入：指事业单位在专业业务活动及其辅助活动之外开展非独立核算经营活动取得的收入。</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附属单位上缴收入：指事业单位附属的独立核算单位按有关规定上缴的收入。</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其他收入：指除上述“财政拨款收入”、“事业收入”、“经营收入”、“附属单位上缴收入”等之外取得的收入。</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用事业基金弥补收支差额：指事业单位在当年的“财政拨款收入”、“财政拨款结转和结余资金”、“事业收入”、“事业单位经营收入”、“其他收入”不足以安排当年支出的情况下，使用以前年度积累的事业基金（即事业单位当年收支相抵后按国家规定提取、用于弥补以后年度收支差额的基金）弥补本年度收支缺口的资金。</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年初结转和结余：指以前年度支出预算因客观条件变化未执行完毕、结转到本年度按有关规定继续使用的资金，既包括财政拨款结转和结余，也包括事业收入、经营收入、其他收入的结转和结余。</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基本支出：指为保障机构正常运转、完成日常工作任务而发生的人员支出和公用支出。</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项目支出：指在基本支出之外为完成特定行政任务和事业发展目标所发生的支出。</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经营支出：指事业单位在专业业务活动及其辅助活动之外开展非独立核算经营活动发生的支出。</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对附属单位补助支出：指事业单位发生的用非财政预算资金对附属单位的补助支出。</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三公”经费：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ascii="仿宋_GB2312" w:hAnsi="仿宋_GB2312" w:eastAsia="仿宋_GB2312"/>
          <w:sz w:val="32"/>
          <w:szCs w:val="32"/>
        </w:rPr>
      </w:r>
    </w:p>
    <w:p>
      <w:pPr>
        <w:ind w:firstLine="640"/>
        <w:spacing w:line="520" w:lineRule="exact"/>
        <w:rPr>
          <w:rFonts w:ascii="仿宋_GB2312" w:hAnsi="仿宋_GB2312" w:eastAsia="仿宋_GB2312"/>
          <w:sz w:val="32"/>
          <w:szCs w:val="32"/>
        </w:rPr>
      </w:pPr>
      <w:r>
        <w:rPr>
          <w:rFonts w:ascii="仿宋_GB2312" w:hAns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hAnsi="仿宋_GB2312" w:eastAsia="仿宋_GB2312"/>
          <w:sz w:val="32"/>
          <w:szCs w:val="32"/>
        </w:rPr>
      </w:r>
    </w:p>
    <w:p>
      <w:pPr>
        <w:ind w:firstLine="640"/>
        <w:spacing w:line="520" w:lineRule="exact"/>
        <w:jc w:val="center"/>
        <w:outlineLvl w:val="0"/>
        <w:rPr>
          <w:rFonts w:ascii="黑体" w:hAnsi="黑体" w:eastAsia="黑体"/>
          <w:sz w:val="32"/>
          <w:szCs w:val="32"/>
        </w:rPr>
      </w:pPr>
      <w:r/>
      <w:bookmarkStart w:id="34" w:name="_Toc28903"/>
      <w:bookmarkEnd w:id="34"/>
      <w:r/>
      <w:bookmarkStart w:id="35" w:name="_Toc22784"/>
      <w:bookmarkEnd w:id="35"/>
      <w:r/>
      <w:r>
        <w:rPr>
          <w:rFonts w:ascii="黑体" w:hAnsi="黑体" w:eastAsia="黑体" w:hint="eastAsia"/>
          <w:sz w:val="32"/>
          <w:szCs w:val="32"/>
        </w:rPr>
        <w:t>第四部分 部门决算报表（见附表）</w:t>
      </w:r>
      <w:r>
        <w:rPr>
          <w:rFonts w:ascii="黑体" w:hAnsi="黑体" w:eastAsia="黑体"/>
          <w:sz w:val="32"/>
          <w:szCs w:val="32"/>
        </w:rPr>
      </w:r>
    </w:p>
    <w:p>
      <w:pPr>
        <w:ind w:firstLine="640"/>
        <w:spacing w:line="520" w:lineRule="exact"/>
        <w:outlineLvl w:val="1"/>
        <w:rPr>
          <w:rFonts w:ascii="黑体" w:hAnsi="黑体" w:eastAsia="黑体" w:cs="宋体"/>
          <w:bCs/>
          <w:sz w:val="32"/>
          <w:szCs w:val="32"/>
        </w:rPr>
      </w:pPr>
      <w:r/>
      <w:bookmarkStart w:id="36" w:name="_Toc6062"/>
      <w:bookmarkEnd w:id="36"/>
      <w:r/>
      <w:bookmarkStart w:id="37" w:name="_Toc2183"/>
      <w:bookmarkEnd w:id="37"/>
      <w:r/>
      <w:r>
        <w:rPr>
          <w:rFonts w:ascii="黑体" w:hAnsi="黑体" w:eastAsia="黑体" w:cs="宋体" w:hint="eastAsia"/>
          <w:bCs/>
          <w:sz w:val="32"/>
          <w:szCs w:val="32"/>
        </w:rPr>
        <w:t>一、《收入支出决算总表》</w:t>
      </w:r>
      <w:r>
        <w:rPr>
          <w:rFonts w:ascii="黑体" w:hAnsi="黑体" w:eastAsia="黑体" w:cs="宋体"/>
          <w:bCs/>
          <w:sz w:val="32"/>
          <w:szCs w:val="32"/>
        </w:rPr>
      </w:r>
    </w:p>
    <w:p>
      <w:pPr>
        <w:ind w:firstLine="640"/>
        <w:spacing w:line="520" w:lineRule="exact"/>
        <w:outlineLvl w:val="1"/>
        <w:rPr>
          <w:rFonts w:ascii="黑体" w:hAnsi="黑体" w:eastAsia="黑体" w:cs="宋体"/>
          <w:bCs/>
          <w:sz w:val="32"/>
          <w:szCs w:val="32"/>
        </w:rPr>
      </w:pPr>
      <w:r/>
      <w:bookmarkStart w:id="38" w:name="_Toc30364"/>
      <w:bookmarkEnd w:id="38"/>
      <w:r/>
      <w:bookmarkStart w:id="39" w:name="_Toc24532"/>
      <w:bookmarkEnd w:id="39"/>
      <w:r/>
      <w:r>
        <w:rPr>
          <w:rFonts w:ascii="黑体" w:hAnsi="黑体" w:eastAsia="黑体" w:cs="宋体" w:hint="eastAsia"/>
          <w:bCs/>
          <w:sz w:val="32"/>
          <w:szCs w:val="32"/>
        </w:rPr>
        <w:t>二、《收入决算表》</w:t>
      </w:r>
      <w:r>
        <w:rPr>
          <w:rFonts w:ascii="黑体" w:hAnsi="黑体" w:eastAsia="黑体" w:cs="宋体"/>
          <w:bCs/>
          <w:sz w:val="32"/>
          <w:szCs w:val="32"/>
        </w:rPr>
      </w:r>
    </w:p>
    <w:p>
      <w:pPr>
        <w:ind w:firstLine="640"/>
        <w:spacing w:line="520" w:lineRule="exact"/>
        <w:outlineLvl w:val="1"/>
        <w:rPr>
          <w:rFonts w:ascii="黑体" w:hAnsi="黑体" w:eastAsia="黑体" w:cs="宋体"/>
          <w:bCs/>
          <w:sz w:val="32"/>
          <w:szCs w:val="32"/>
        </w:rPr>
      </w:pPr>
      <w:r/>
      <w:bookmarkStart w:id="40" w:name="_Toc21304"/>
      <w:bookmarkEnd w:id="40"/>
      <w:r/>
      <w:bookmarkStart w:id="41" w:name="_Toc32434"/>
      <w:bookmarkEnd w:id="41"/>
      <w:r/>
      <w:r>
        <w:rPr>
          <w:rFonts w:ascii="黑体" w:hAnsi="黑体" w:eastAsia="黑体" w:cs="宋体" w:hint="eastAsia"/>
          <w:bCs/>
          <w:sz w:val="32"/>
          <w:szCs w:val="32"/>
        </w:rPr>
        <w:t>三、《支出决算表》</w:t>
      </w:r>
      <w:r>
        <w:rPr>
          <w:rFonts w:ascii="黑体" w:hAnsi="黑体" w:eastAsia="黑体" w:cs="宋体"/>
          <w:bCs/>
          <w:sz w:val="32"/>
          <w:szCs w:val="32"/>
        </w:rPr>
      </w:r>
    </w:p>
    <w:p>
      <w:pPr>
        <w:ind w:firstLine="640"/>
        <w:spacing w:line="520" w:lineRule="exact"/>
        <w:outlineLvl w:val="1"/>
        <w:rPr>
          <w:rFonts w:ascii="黑体" w:hAnsi="黑体" w:eastAsia="黑体" w:cs="宋体"/>
          <w:bCs/>
          <w:sz w:val="32"/>
          <w:szCs w:val="32"/>
        </w:rPr>
      </w:pPr>
      <w:r/>
      <w:bookmarkStart w:id="42" w:name="_Toc14238"/>
      <w:bookmarkEnd w:id="42"/>
      <w:r/>
      <w:bookmarkStart w:id="43" w:name="_Toc28786"/>
      <w:bookmarkEnd w:id="43"/>
      <w:r/>
      <w:r>
        <w:rPr>
          <w:rFonts w:ascii="黑体" w:hAnsi="黑体" w:eastAsia="黑体" w:cs="宋体" w:hint="eastAsia"/>
          <w:bCs/>
          <w:sz w:val="32"/>
          <w:szCs w:val="32"/>
        </w:rPr>
        <w:t>四、《财政拨款收入支出决算总表》</w:t>
      </w:r>
      <w:r>
        <w:rPr>
          <w:rFonts w:ascii="黑体" w:hAnsi="黑体" w:eastAsia="黑体" w:cs="宋体"/>
          <w:bCs/>
          <w:sz w:val="32"/>
          <w:szCs w:val="32"/>
        </w:rPr>
      </w:r>
    </w:p>
    <w:p>
      <w:pPr>
        <w:ind w:firstLine="640"/>
        <w:spacing w:line="520" w:lineRule="exact"/>
        <w:outlineLvl w:val="1"/>
        <w:rPr>
          <w:rFonts w:ascii="黑体" w:hAnsi="黑体" w:eastAsia="黑体" w:cs="宋体"/>
          <w:bCs/>
          <w:sz w:val="32"/>
          <w:szCs w:val="32"/>
        </w:rPr>
      </w:pPr>
      <w:r/>
      <w:bookmarkStart w:id="44" w:name="_Toc10347"/>
      <w:bookmarkEnd w:id="44"/>
      <w:r/>
      <w:bookmarkStart w:id="45" w:name="_Toc14869"/>
      <w:bookmarkEnd w:id="45"/>
      <w:r/>
      <w:r>
        <w:rPr>
          <w:rFonts w:ascii="黑体" w:hAnsi="黑体" w:eastAsia="黑体" w:cs="宋体" w:hint="eastAsia"/>
          <w:bCs/>
          <w:sz w:val="32"/>
          <w:szCs w:val="32"/>
        </w:rPr>
        <w:t>五、《一般公共预算财政拨款支出决算表》</w:t>
      </w:r>
      <w:r>
        <w:rPr>
          <w:rFonts w:ascii="黑体" w:hAnsi="黑体" w:eastAsia="黑体" w:cs="宋体"/>
          <w:bCs/>
          <w:sz w:val="32"/>
          <w:szCs w:val="32"/>
        </w:rPr>
      </w:r>
    </w:p>
    <w:p>
      <w:pPr>
        <w:ind w:firstLine="640"/>
        <w:spacing w:line="520" w:lineRule="exact"/>
        <w:outlineLvl w:val="1"/>
        <w:rPr>
          <w:rFonts w:ascii="黑体" w:hAnsi="黑体" w:eastAsia="黑体" w:cs="宋体"/>
          <w:bCs/>
          <w:sz w:val="32"/>
          <w:szCs w:val="32"/>
        </w:rPr>
      </w:pPr>
      <w:r/>
      <w:bookmarkStart w:id="46" w:name="_Toc5626"/>
      <w:bookmarkEnd w:id="46"/>
      <w:r/>
      <w:bookmarkStart w:id="47" w:name="_Toc8884"/>
      <w:bookmarkEnd w:id="47"/>
      <w:r/>
      <w:r>
        <w:rPr>
          <w:rFonts w:ascii="黑体" w:hAnsi="黑体" w:eastAsia="黑体" w:cs="宋体" w:hint="eastAsia"/>
          <w:bCs/>
          <w:sz w:val="32"/>
          <w:szCs w:val="32"/>
        </w:rPr>
        <w:t>六、《一般公共预算财政拨款基本支出决算表》</w:t>
      </w:r>
      <w:r>
        <w:rPr>
          <w:rFonts w:ascii="黑体" w:hAnsi="黑体" w:eastAsia="黑体" w:cs="宋体"/>
          <w:bCs/>
          <w:sz w:val="32"/>
          <w:szCs w:val="32"/>
        </w:rPr>
      </w:r>
    </w:p>
    <w:p>
      <w:pPr>
        <w:ind w:firstLine="640"/>
        <w:spacing w:line="520" w:lineRule="exact"/>
        <w:outlineLvl w:val="1"/>
        <w:rPr>
          <w:rFonts w:ascii="黑体" w:hAnsi="黑体" w:eastAsia="黑体" w:cs="宋体"/>
          <w:bCs/>
          <w:sz w:val="32"/>
          <w:szCs w:val="32"/>
        </w:rPr>
      </w:pPr>
      <w:r/>
      <w:bookmarkStart w:id="48" w:name="_Toc32663"/>
      <w:bookmarkEnd w:id="48"/>
      <w:r/>
      <w:bookmarkStart w:id="49" w:name="_Toc29106"/>
      <w:bookmarkEnd w:id="49"/>
      <w:r/>
      <w:r>
        <w:rPr>
          <w:rFonts w:ascii="黑体" w:hAnsi="黑体" w:eastAsia="黑体" w:cs="宋体" w:hint="eastAsia"/>
          <w:bCs/>
          <w:sz w:val="32"/>
          <w:szCs w:val="32"/>
        </w:rPr>
        <w:t>七、《一般公共预算财政拨款“三公”经费支出决算表》</w:t>
      </w:r>
      <w:r>
        <w:rPr>
          <w:rFonts w:ascii="黑体" w:hAnsi="黑体" w:eastAsia="黑体" w:cs="宋体"/>
          <w:bCs/>
          <w:sz w:val="32"/>
          <w:szCs w:val="32"/>
        </w:rPr>
      </w:r>
    </w:p>
    <w:p>
      <w:pPr>
        <w:ind w:firstLine="640"/>
        <w:spacing w:line="520" w:lineRule="exact"/>
        <w:outlineLvl w:val="1"/>
        <w:rPr>
          <w:rFonts w:ascii="黑体" w:hAnsi="黑体" w:eastAsia="黑体" w:cs="宋体"/>
          <w:bCs/>
          <w:sz w:val="32"/>
          <w:szCs w:val="32"/>
        </w:rPr>
      </w:pPr>
      <w:r/>
      <w:bookmarkStart w:id="50" w:name="_Toc5453"/>
      <w:bookmarkEnd w:id="50"/>
      <w:r/>
      <w:bookmarkStart w:id="51" w:name="_Toc7643"/>
      <w:bookmarkEnd w:id="51"/>
      <w:r/>
      <w:r>
        <w:rPr>
          <w:rFonts w:ascii="黑体" w:hAnsi="黑体" w:eastAsia="黑体" w:cs="宋体" w:hint="eastAsia"/>
          <w:bCs/>
          <w:sz w:val="32"/>
          <w:szCs w:val="32"/>
        </w:rPr>
        <w:t>八、《政府性基金预算财政拨款收入支出决算表》</w:t>
      </w:r>
      <w:r>
        <w:rPr>
          <w:rFonts w:ascii="黑体" w:hAnsi="黑体" w:eastAsia="黑体" w:cs="宋体"/>
          <w:bCs/>
          <w:sz w:val="32"/>
          <w:szCs w:val="32"/>
        </w:rPr>
      </w:r>
    </w:p>
    <w:sectPr>
      <w:footnotePr>
        <w:pos w:val="pageBottom"/>
        <w:numFmt w:val="decimal"/>
        <w:numStart w:val="1"/>
        <w:numRestart w:val="continuous"/>
      </w:footnotePr>
      <w:endnotePr>
        <w:pos w:val="docEnd"/>
        <w:numFmt w:val="decimal"/>
        <w:numStart w:val="1"/>
        <w:numRestart w:val="continuous"/>
      </w:endnotePr>
      <w:footerReference w:type="default" r:id="rId8"/>
      <w:type w:val="nextPage"/>
      <w:pgSz w:h="16838" w:w="11906"/>
      <w:pgMar w:left="1800" w:top="1440" w:right="1800" w:bottom="1440" w:footer="992"/>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宋体">
    <w:panose1 w:val="02010600030101010101"/>
    <w:charset w:val="86"/>
    <w:family w:val="auto"/>
    <w:pitch w:val="default"/>
  </w:font>
  <w:font w:name="黑体">
    <w:panose1 w:val="02010609060101010101"/>
    <w:charset w:val="86"/>
    <w:family w:val="modern"/>
    <w:pitch w:val="default"/>
  </w:font>
  <w:font w:name="方正小标宋_GBK">
    <w:panose1 w:val="03000509000000000000"/>
    <w:charset w:val="86"/>
    <w:family w:val="script"/>
    <w:pitch w:val="default"/>
  </w:font>
  <w:font w:name="仿宋_GB2312">
    <w:panose1 w:val="02010609030101010101"/>
    <w:charset w:val="86"/>
    <w:family w:val="modern"/>
    <w:pitch w:val="default"/>
  </w:font>
  <w:font w:name="仿宋">
    <w:panose1 w:val="02010609060101010101"/>
    <w:charset w:val="86"/>
    <w:family w:val="modern"/>
    <w:pitch w:val="default"/>
  </w:font>
  <w:font w:name="Cambria">
    <w:panose1 w:val="0204050305040603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jc w:val="center"/>
    </w:pPr>
    <w:r>
      <w:fldChar w:fldCharType="begin"/>
      <w:instrText xml:space="preserve"> PAGE \* Arabic </w:instrText>
      <w:fldChar w:fldCharType="separate"/>
      <w:t>11</w:t>
      <w:fldChar w:fldCharType="end"/>
    </w:r>
  </w:p>
  <w:p>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singleLevel"/>
    <w:name w:val="编号列表 1"/>
    <w:lvl w:ilvl="0">
      <w:start w:val="1"/>
      <w:numFmt w:val="chineseCounting"/>
      <w:suff w:val="nothing"/>
      <w:lvlText w:val="%1、"/>
      <w:lvlJc w:val="left"/>
      <w:pPr>
        <w:ind w:left="320" w:hanging="0"/>
      </w:pPr>
      <w:rPr>
        <w:rPr>
          <w:rFonts w:cs="Times New Roman" w:hint="eastAsia"/>
        </w:rPr>
      </w:rPr>
    </w:lvl>
  </w:abstractNum>
  <w:abstractNum w:abstractNumId="2">
    <w:multiLevelType w:val="singleLevel"/>
    <w:name w:val="Bullet 2"/>
    <w:lvl w:ilvl="0">
      <w:start w:val="0"/>
      <w:numFmt w:val="none"/>
      <w:lvlText w:val="%1"/>
      <w:lvlJc w:val="left"/>
      <w:pPr>
        <w:tabs>
          <w:tab w:val="num" w:pos="0"/>
        </w:tabs>
        <w:ind w:left="0" w:hanging="0"/>
      </w:pPr>
      <w:rPr/>
    </w:lvl>
  </w:abstractNum>
  <w:abstractNum w:abstractNumId="3">
    <w:multiLevelType w:val="singleLevel"/>
    <w:name w:val="Bullet 3"/>
    <w:lvl w:ilvl="0">
      <w:start w:val="1"/>
      <w:numFmt w:val="chineseCounting"/>
      <w:lvlText w:val="%1"/>
      <w:lvlJc w:val="left"/>
      <w:pPr>
        <w:tabs>
          <w:tab w:val="num" w:pos="0"/>
        </w:tabs>
        <w:ind w:left="0" w:hanging="0"/>
      </w:pPr>
      <w:rPr>
        <w:rPr>
          <w:rFonts w:cs="Times New Roman" w:hint="eastAsia"/>
        </w:rPr>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0"/>
  <w:drawingGridVerticalSpacing w:val="156"/>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2049"/>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28"/>
    <w:tmReviewMarkIns w:val="4"/>
    <w:tmReviewColorIns w:val="-1"/>
    <w:tmReviewMarkDel w:val="6"/>
    <w:tmReviewColorDel w:val="-1"/>
    <w:tmReviewMarkFmt w:val="1"/>
    <w:tmReviewColorFmt w:val="-1"/>
    <w:tmReviewMarkLn w:val="1"/>
    <w:tmReviewColorLn w:val="0"/>
    <w:tmReviewToolTip w:val="1"/>
  </w:tmReviewPr>
  <w:tmLastPos>
    <w:tmLastPosPage w:val="9"/>
    <w:tmLastPosSelect w:val="0"/>
    <w:tmLastPosFrameIdx w:val="0"/>
    <w:tmLastPosCaret>
      <w:tmLastPosPgfIdx w:val="74"/>
      <w:tmLastPosIdx w:val="187"/>
    </w:tmLastPosCaret>
    <w:tmLastPosAnchor>
      <w:tmLastPosPgfIdx w:val="0"/>
      <w:tmLastPosIdx w:val="0"/>
    </w:tmLastPosAnchor>
    <w:tmLastPosTblRect w:left="0" w:top="0" w:right="0" w:bottom="0"/>
    <w:tmAppRevision w:date="1603937612"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宋体" w:cs="Times New Roman"/>
        <w:kern w:val="1"/>
        <w:sz w:val="21"/>
        <w:szCs w:val="24"/>
        <w:lang w:val="en-us" w:eastAsia="zh-cn" w:bidi="ar-sa"/>
      </w:rPr>
    </w:rPrDefault>
    <w:pPrDefault>
      <w:pPr>
        <w:spacing/>
        <w:jc w:val="both"/>
        <w:widowControl w:val="0"/>
        <w:pBdr>
          <w:top w:val="none" w:sz="0" w:space="0" w:color="000000"/>
          <w:left w:val="none" w:sz="0" w:space="0" w:color="000000"/>
          <w:bottom w:val="none" w:sz="0" w:space="0" w:color="000000"/>
          <w:right w:val="none" w:sz="0" w:space="0" w:color="000000"/>
          <w:between w:val="none" w:sz="0" w:space="0" w:color="000000"/>
        </w:pBdr>
        <w:shd w:val="no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2">
    <w:name w:val="toc 2"/>
    <w:qFormat/>
    <w:pPr>
      <w:ind w:left="420"/>
      <w:pBdr>
        <w:top w:val="none" w:sz="0" w:space="3" w:color="000000"/>
        <w:left w:val="none" w:sz="0" w:space="3" w:color="000000"/>
        <w:bottom w:val="none" w:sz="0" w:space="3" w:color="000000"/>
        <w:right w:val="none" w:sz="0" w:space="3" w:color="000000"/>
        <w:between w:val="none" w:sz="0" w:space="0" w:color="000000"/>
      </w:pBdr>
      <w:shd w:val="none"/>
    </w:pPr>
  </w:style>
  <w:style w:type="paragraph" w:styleId="1">
    <w:name w:val="toc 1"/>
    <w:qFormat/>
  </w:style>
  <w:style w:type="paragraph" w:styleId="Header" w:customStyle="1">
    <w:name w:val="Header"/>
    <w:qFormat/>
    <w:pPr>
      <w:tabs>
        <w:tab w:val="center" w:pos="4153" w:leader="none"/>
        <w:tab w:val="right" w:pos="8306" w:leader="none"/>
      </w:tabs>
      <w:pBdr>
        <w:top w:val="none" w:sz="0" w:space="1" w:color="000000"/>
        <w:left w:val="none" w:sz="0" w:space="4" w:color="000000"/>
        <w:bottom w:val="none" w:sz="0" w:space="1" w:color="000000"/>
        <w:right w:val="none" w:sz="0" w:space="4" w:color="000000"/>
        <w:between w:val="none" w:sz="0" w:space="0" w:color="000000"/>
      </w:pBdr>
      <w:shd w:val="none"/>
    </w:pPr>
    <w:rPr>
      <w:sz w:val="18"/>
    </w:rPr>
  </w:style>
  <w:style w:type="paragraph" w:styleId="3">
    <w:name w:val="toc 3"/>
    <w:qFormat/>
    <w:pPr>
      <w:ind w:left="840"/>
      <w:pBdr>
        <w:top w:val="none" w:sz="0" w:space="3" w:color="000000"/>
        <w:left w:val="none" w:sz="0" w:space="3" w:color="000000"/>
        <w:bottom w:val="none" w:sz="0" w:space="3" w:color="000000"/>
        <w:right w:val="none" w:sz="0" w:space="3" w:color="000000"/>
        <w:between w:val="none" w:sz="0" w:space="0" w:color="000000"/>
      </w:pBdr>
      <w:shd w:val="none"/>
    </w:pPr>
  </w:style>
  <w:style w:type="paragraph" w:styleId="Footer" w:customStyle="1">
    <w:name w:val="Footer"/>
    <w:qFormat/>
    <w:pPr>
      <w:spacing/>
      <w:jc w:val="left"/>
      <w:tabs>
        <w:tab w:val="center" w:pos="4153" w:leader="none"/>
        <w:tab w:val="right" w:pos="8306" w:leader="none"/>
      </w:tabs>
      <w:pBdr>
        <w:top w:val="none" w:sz="0" w:space="3" w:color="000000"/>
        <w:left w:val="none" w:sz="0" w:space="3" w:color="000000"/>
        <w:bottom w:val="none" w:sz="0" w:space="3" w:color="000000"/>
        <w:right w:val="none" w:sz="0" w:space="3" w:color="000000"/>
        <w:between w:val="none" w:sz="0" w:space="0" w:color="000000"/>
      </w:pBdr>
      <w:shd w:val="none"/>
    </w:pPr>
    <w:rPr>
      <w:sz w:val="18"/>
    </w:rPr>
  </w:style>
  <w:style w:type="paragraph" w:styleId="1" w:customStyle="1">
    <w:name w:val="批注文字1"/>
    <w:qFormat/>
    <w:pPr>
      <w:spacing/>
      <w:jc w:val="left"/>
      <w:pBdr>
        <w:top w:val="none" w:sz="0" w:space="3" w:color="000000"/>
        <w:left w:val="none" w:sz="0" w:space="3" w:color="000000"/>
        <w:bottom w:val="none" w:sz="0" w:space="3" w:color="000000"/>
        <w:right w:val="none" w:sz="0" w:space="3" w:color="000000"/>
        <w:between w:val="none" w:sz="0" w:space="0" w:color="000000"/>
      </w:pBdr>
      <w:shd w:val="none"/>
    </w:pPr>
  </w:style>
  <w:style w:type="paragraph" w:styleId="WPSOffice3" w:customStyle="1">
    <w:name w:val="WPSOffice手动目录 3"/>
    <w:qFormat/>
    <w:pPr>
      <w:spacing/>
      <w:jc w:val="left"/>
      <w:widowControl/>
      <w:pBdr>
        <w:top w:val="none" w:sz="0" w:space="3" w:color="000000"/>
        <w:left w:val="none" w:sz="0" w:space="3" w:color="000000"/>
        <w:bottom w:val="none" w:sz="0" w:space="3" w:color="000000"/>
        <w:right w:val="none" w:sz="0" w:space="3" w:color="000000"/>
        <w:between w:val="none" w:sz="0" w:space="0" w:color="000000"/>
      </w:pBdr>
      <w:shd w:val="none"/>
    </w:pPr>
    <w:rPr>
      <w:sz w:val="20"/>
      <w:szCs w:val="20"/>
    </w:rPr>
  </w:style>
  <w:style w:type="paragraph" w:styleId="WPSOffice2" w:customStyle="1">
    <w:name w:val="WPSOffice手动目录 2"/>
    <w:qFormat/>
    <w:pPr>
      <w:spacing/>
      <w:jc w:val="left"/>
      <w:widowControl/>
      <w:pBdr>
        <w:top w:val="none" w:sz="0" w:space="3" w:color="000000"/>
        <w:left w:val="none" w:sz="0" w:space="3" w:color="000000"/>
        <w:bottom w:val="none" w:sz="0" w:space="3" w:color="000000"/>
        <w:right w:val="none" w:sz="0" w:space="3" w:color="000000"/>
        <w:between w:val="none" w:sz="0" w:space="0" w:color="000000"/>
      </w:pBdr>
      <w:shd w:val="none"/>
    </w:pPr>
    <w:rPr>
      <w:sz w:val="20"/>
      <w:szCs w:val="20"/>
    </w:rPr>
  </w:style>
  <w:style w:type="paragraph" w:styleId="WPSOffice1" w:customStyle="1">
    <w:name w:val="WPSOffice手动目录 1"/>
    <w:qFormat/>
    <w:pPr>
      <w:spacing/>
      <w:jc w:val="left"/>
      <w:widowControl/>
      <w:pBdr>
        <w:top w:val="none" w:sz="0" w:space="3" w:color="000000"/>
        <w:left w:val="none" w:sz="0" w:space="3" w:color="000000"/>
        <w:bottom w:val="none" w:sz="0" w:space="3" w:color="000000"/>
        <w:right w:val="none" w:sz="0" w:space="3" w:color="000000"/>
        <w:between w:val="none" w:sz="0" w:space="0" w:color="000000"/>
      </w:pBdr>
      <w:shd w:val="none"/>
    </w:pPr>
    <w:rPr>
      <w:sz w:val="20"/>
      <w:szCs w:val="20"/>
    </w:rPr>
  </w:style>
  <w:style w:type="paragraph" w:styleId="()">
    <w:name w:val="Normal (Web)"/>
    <w:qFormat/>
    <w:pPr>
      <w:spacing w:before="100" w:after="100" w:beforeAutospacing="1" w:afterAutospacing="1"/>
      <w:jc w:val="left"/>
      <w:widowControl/>
      <w:pBdr>
        <w:top w:val="none" w:sz="0" w:space="3" w:color="000000"/>
        <w:left w:val="none" w:sz="0" w:space="3" w:color="000000"/>
        <w:bottom w:val="none" w:sz="0" w:space="3" w:color="000000"/>
        <w:right w:val="none" w:sz="0" w:space="3" w:color="000000"/>
        <w:between w:val="none" w:sz="0" w:space="0" w:color="000000"/>
      </w:pBdr>
      <w:shd w:val="none"/>
    </w:pPr>
    <w:rPr>
      <w:rFonts w:ascii="宋体" w:hAnsi="宋体" w:cs="宋体"/>
      <w:sz w:val="24"/>
    </w:rPr>
  </w:style>
  <w:style w:type="paragraph" w:styleId="">
    <w:name w:val="Header"/>
    <w:qFormat/>
    <w:basedOn w:val=""/>
    <w:pPr>
      <w:spacing/>
      <w:jc w:val="center"/>
      <w:tabs>
        <w:tab w:val="center" w:pos="4153" w:leader="none"/>
        <w:tab w:val="right" w:pos="8306" w:leader="none"/>
      </w:tabs>
      <w:pBdr>
        <w:top w:val="none" w:sz="0" w:space="0" w:color="000000"/>
        <w:left w:val="none" w:sz="0" w:space="0" w:color="000000"/>
        <w:bottom w:val="single" w:sz="6" w:space="1" w:color="000000"/>
        <w:right w:val="none" w:sz="0" w:space="0" w:color="000000"/>
        <w:between w:val="none" w:sz="0" w:space="0" w:color="000000"/>
      </w:pBdr>
      <w:shd w:val="none"/>
    </w:pPr>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character" w:styleId="" w:default="1">
    <w:name w:val="Default Paragraph Font"/>
  </w:style>
  <w:style w:type="character" w:styleId="Char" w:customStyle="1">
    <w:name w:val="页脚 Char"/>
    <w:rPr>
      <w:sz w:val="18"/>
    </w:rPr>
  </w:style>
  <w:style w:type="character" w:styleId="Char" w:customStyle="1">
    <w:name w:val="页眉 Char"/>
    <w:basedOn w:val=""/>
    <w:rPr>
      <w:sz w:val="18"/>
      <w:szCs w:val="18"/>
    </w:rPr>
  </w:style>
  <w:style w:type="character" w:styleId="Char1" w:customStyle="1">
    <w:name w:val="页脚 Char1"/>
    <w:basedOn w:val=""/>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Times New Roman" w:hAnsi="Times New Roman" w:eastAsia="宋体" w:cs="Times New Roman"/>
        <w:kern w:val="1"/>
        <w:sz w:val="21"/>
        <w:szCs w:val="24"/>
        <w:lang w:val="en-us" w:eastAsia="zh-cn" w:bidi="ar-sa"/>
      </w:rPr>
    </w:rPrDefault>
    <w:pPrDefault>
      <w:pPr>
        <w:spacing/>
        <w:jc w:val="both"/>
        <w:widowControl w:val="0"/>
        <w:pBdr>
          <w:top w:val="none" w:sz="0" w:space="0" w:color="000000"/>
          <w:left w:val="none" w:sz="0" w:space="0" w:color="000000"/>
          <w:bottom w:val="none" w:sz="0" w:space="0" w:color="000000"/>
          <w:right w:val="none" w:sz="0" w:space="0" w:color="000000"/>
          <w:between w:val="none" w:sz="0" w:space="0" w:color="000000"/>
        </w:pBdr>
        <w:shd w:val="no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2">
    <w:name w:val="toc 2"/>
    <w:qFormat/>
    <w:pPr>
      <w:ind w:left="420"/>
      <w:pBdr>
        <w:top w:val="none" w:sz="0" w:space="3" w:color="000000"/>
        <w:left w:val="none" w:sz="0" w:space="3" w:color="000000"/>
        <w:bottom w:val="none" w:sz="0" w:space="3" w:color="000000"/>
        <w:right w:val="none" w:sz="0" w:space="3" w:color="000000"/>
        <w:between w:val="none" w:sz="0" w:space="0" w:color="000000"/>
      </w:pBdr>
      <w:shd w:val="none"/>
    </w:pPr>
  </w:style>
  <w:style w:type="paragraph" w:styleId="1">
    <w:name w:val="toc 1"/>
    <w:qFormat/>
  </w:style>
  <w:style w:type="paragraph" w:styleId="Header" w:customStyle="1">
    <w:name w:val="Header"/>
    <w:qFormat/>
    <w:pPr>
      <w:tabs>
        <w:tab w:val="center" w:pos="4153" w:leader="none"/>
        <w:tab w:val="right" w:pos="8306" w:leader="none"/>
      </w:tabs>
      <w:pBdr>
        <w:top w:val="none" w:sz="0" w:space="1" w:color="000000"/>
        <w:left w:val="none" w:sz="0" w:space="4" w:color="000000"/>
        <w:bottom w:val="none" w:sz="0" w:space="1" w:color="000000"/>
        <w:right w:val="none" w:sz="0" w:space="4" w:color="000000"/>
        <w:between w:val="none" w:sz="0" w:space="0" w:color="000000"/>
      </w:pBdr>
      <w:shd w:val="none"/>
    </w:pPr>
    <w:rPr>
      <w:sz w:val="18"/>
    </w:rPr>
  </w:style>
  <w:style w:type="paragraph" w:styleId="3">
    <w:name w:val="toc 3"/>
    <w:qFormat/>
    <w:pPr>
      <w:ind w:left="840"/>
      <w:pBdr>
        <w:top w:val="none" w:sz="0" w:space="3" w:color="000000"/>
        <w:left w:val="none" w:sz="0" w:space="3" w:color="000000"/>
        <w:bottom w:val="none" w:sz="0" w:space="3" w:color="000000"/>
        <w:right w:val="none" w:sz="0" w:space="3" w:color="000000"/>
        <w:between w:val="none" w:sz="0" w:space="0" w:color="000000"/>
      </w:pBdr>
      <w:shd w:val="none"/>
    </w:pPr>
  </w:style>
  <w:style w:type="paragraph" w:styleId="Footer" w:customStyle="1">
    <w:name w:val="Footer"/>
    <w:qFormat/>
    <w:pPr>
      <w:spacing/>
      <w:jc w:val="left"/>
      <w:tabs>
        <w:tab w:val="center" w:pos="4153" w:leader="none"/>
        <w:tab w:val="right" w:pos="8306" w:leader="none"/>
      </w:tabs>
      <w:pBdr>
        <w:top w:val="none" w:sz="0" w:space="3" w:color="000000"/>
        <w:left w:val="none" w:sz="0" w:space="3" w:color="000000"/>
        <w:bottom w:val="none" w:sz="0" w:space="3" w:color="000000"/>
        <w:right w:val="none" w:sz="0" w:space="3" w:color="000000"/>
        <w:between w:val="none" w:sz="0" w:space="0" w:color="000000"/>
      </w:pBdr>
      <w:shd w:val="none"/>
    </w:pPr>
    <w:rPr>
      <w:sz w:val="18"/>
    </w:rPr>
  </w:style>
  <w:style w:type="paragraph" w:styleId="1" w:customStyle="1">
    <w:name w:val="批注文字1"/>
    <w:qFormat/>
    <w:pPr>
      <w:spacing/>
      <w:jc w:val="left"/>
      <w:pBdr>
        <w:top w:val="none" w:sz="0" w:space="3" w:color="000000"/>
        <w:left w:val="none" w:sz="0" w:space="3" w:color="000000"/>
        <w:bottom w:val="none" w:sz="0" w:space="3" w:color="000000"/>
        <w:right w:val="none" w:sz="0" w:space="3" w:color="000000"/>
        <w:between w:val="none" w:sz="0" w:space="0" w:color="000000"/>
      </w:pBdr>
      <w:shd w:val="none"/>
    </w:pPr>
  </w:style>
  <w:style w:type="paragraph" w:styleId="WPSOffice3" w:customStyle="1">
    <w:name w:val="WPSOffice手动目录 3"/>
    <w:qFormat/>
    <w:pPr>
      <w:spacing/>
      <w:jc w:val="left"/>
      <w:widowControl/>
      <w:pBdr>
        <w:top w:val="none" w:sz="0" w:space="3" w:color="000000"/>
        <w:left w:val="none" w:sz="0" w:space="3" w:color="000000"/>
        <w:bottom w:val="none" w:sz="0" w:space="3" w:color="000000"/>
        <w:right w:val="none" w:sz="0" w:space="3" w:color="000000"/>
        <w:between w:val="none" w:sz="0" w:space="0" w:color="000000"/>
      </w:pBdr>
      <w:shd w:val="none"/>
    </w:pPr>
    <w:rPr>
      <w:sz w:val="20"/>
      <w:szCs w:val="20"/>
    </w:rPr>
  </w:style>
  <w:style w:type="paragraph" w:styleId="WPSOffice2" w:customStyle="1">
    <w:name w:val="WPSOffice手动目录 2"/>
    <w:qFormat/>
    <w:pPr>
      <w:spacing/>
      <w:jc w:val="left"/>
      <w:widowControl/>
      <w:pBdr>
        <w:top w:val="none" w:sz="0" w:space="3" w:color="000000"/>
        <w:left w:val="none" w:sz="0" w:space="3" w:color="000000"/>
        <w:bottom w:val="none" w:sz="0" w:space="3" w:color="000000"/>
        <w:right w:val="none" w:sz="0" w:space="3" w:color="000000"/>
        <w:between w:val="none" w:sz="0" w:space="0" w:color="000000"/>
      </w:pBdr>
      <w:shd w:val="none"/>
    </w:pPr>
    <w:rPr>
      <w:sz w:val="20"/>
      <w:szCs w:val="20"/>
    </w:rPr>
  </w:style>
  <w:style w:type="paragraph" w:styleId="WPSOffice1" w:customStyle="1">
    <w:name w:val="WPSOffice手动目录 1"/>
    <w:qFormat/>
    <w:pPr>
      <w:spacing/>
      <w:jc w:val="left"/>
      <w:widowControl/>
      <w:pBdr>
        <w:top w:val="none" w:sz="0" w:space="3" w:color="000000"/>
        <w:left w:val="none" w:sz="0" w:space="3" w:color="000000"/>
        <w:bottom w:val="none" w:sz="0" w:space="3" w:color="000000"/>
        <w:right w:val="none" w:sz="0" w:space="3" w:color="000000"/>
        <w:between w:val="none" w:sz="0" w:space="0" w:color="000000"/>
      </w:pBdr>
      <w:shd w:val="none"/>
    </w:pPr>
    <w:rPr>
      <w:sz w:val="20"/>
      <w:szCs w:val="20"/>
    </w:rPr>
  </w:style>
  <w:style w:type="paragraph" w:styleId="()">
    <w:name w:val="Normal (Web)"/>
    <w:qFormat/>
    <w:pPr>
      <w:spacing w:before="100" w:after="100" w:beforeAutospacing="1" w:afterAutospacing="1"/>
      <w:jc w:val="left"/>
      <w:widowControl/>
      <w:pBdr>
        <w:top w:val="none" w:sz="0" w:space="3" w:color="000000"/>
        <w:left w:val="none" w:sz="0" w:space="3" w:color="000000"/>
        <w:bottom w:val="none" w:sz="0" w:space="3" w:color="000000"/>
        <w:right w:val="none" w:sz="0" w:space="3" w:color="000000"/>
        <w:between w:val="none" w:sz="0" w:space="0" w:color="000000"/>
      </w:pBdr>
      <w:shd w:val="none"/>
    </w:pPr>
    <w:rPr>
      <w:rFonts w:ascii="宋体" w:hAnsi="宋体" w:cs="宋体"/>
      <w:sz w:val="24"/>
    </w:rPr>
  </w:style>
  <w:style w:type="paragraph" w:styleId="">
    <w:name w:val="Header"/>
    <w:qFormat/>
    <w:basedOn w:val=""/>
    <w:pPr>
      <w:spacing/>
      <w:jc w:val="center"/>
      <w:tabs>
        <w:tab w:val="center" w:pos="4153" w:leader="none"/>
        <w:tab w:val="right" w:pos="8306" w:leader="none"/>
      </w:tabs>
      <w:pBdr>
        <w:top w:val="none" w:sz="0" w:space="0" w:color="000000"/>
        <w:left w:val="none" w:sz="0" w:space="0" w:color="000000"/>
        <w:bottom w:val="single" w:sz="6" w:space="1" w:color="000000"/>
        <w:right w:val="none" w:sz="0" w:space="0" w:color="000000"/>
        <w:between w:val="none" w:sz="0" w:space="0" w:color="000000"/>
      </w:pBdr>
      <w:shd w:val="none"/>
    </w:pPr>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character" w:styleId="" w:default="1">
    <w:name w:val="Default Paragraph Font"/>
  </w:style>
  <w:style w:type="character" w:styleId="Char" w:customStyle="1">
    <w:name w:val="页脚 Char"/>
    <w:rPr>
      <w:sz w:val="18"/>
    </w:rPr>
  </w:style>
  <w:style w:type="character" w:styleId="Char" w:customStyle="1">
    <w:name w:val="页眉 Char"/>
    <w:basedOn w:val=""/>
    <w:rPr>
      <w:sz w:val="18"/>
      <w:szCs w:val="18"/>
    </w:rPr>
  </w:style>
  <w:style w:type="character" w:styleId="Char1" w:customStyle="1">
    <w:name w:val="页脚 Char1"/>
    <w:basedOn w:val=""/>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GXR</dc:creator>
  <cp:keywords/>
  <dc:description/>
  <cp:lastModifiedBy/>
  <cp:revision>28</cp:revision>
  <cp:lastPrinted>2020-10-17T15:04:00Z</cp:lastPrinted>
  <dcterms:created xsi:type="dcterms:W3CDTF">2020-10-16T13:25:00Z</dcterms:created>
  <dcterms:modified xsi:type="dcterms:W3CDTF">2020-10-29T10:13:32Z</dcterms:modified>
</cp:coreProperties>
</file>