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1106" w:right="1106"/>
        <w:jc w:val="center"/>
        <w:rPr>
          <w:b w:val="0"/>
          <w:bCs w:val="0"/>
          <w:color w:val="135194"/>
          <w:sz w:val="36"/>
          <w:szCs w:val="36"/>
        </w:rPr>
      </w:pPr>
      <w:bookmarkStart w:id="0" w:name="_GoBack"/>
      <w:r>
        <w:rPr>
          <w:b w:val="0"/>
          <w:bCs w:val="0"/>
          <w:i w:val="0"/>
          <w:iCs w:val="0"/>
          <w:caps w:val="0"/>
          <w:color w:val="135194"/>
          <w:spacing w:val="0"/>
          <w:sz w:val="36"/>
          <w:szCs w:val="36"/>
        </w:rPr>
        <w:t>《关于修改〈营业性演出管理条例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552" w:right="552" w:firstLine="0"/>
        <w:jc w:val="center"/>
        <w:rPr>
          <w:b w:val="0"/>
          <w:bCs w:val="0"/>
          <w:i w:val="0"/>
          <w:iCs w:val="0"/>
          <w:caps w:val="0"/>
          <w:color w:val="135194"/>
          <w:spacing w:val="0"/>
          <w:sz w:val="36"/>
          <w:szCs w:val="36"/>
        </w:rPr>
      </w:pPr>
      <w:r>
        <w:rPr>
          <w:rFonts w:ascii="宋体" w:hAnsi="宋体" w:eastAsia="宋体" w:cs="宋体"/>
          <w:b w:val="0"/>
          <w:bCs w:val="0"/>
          <w:i w:val="0"/>
          <w:iCs w:val="0"/>
          <w:caps w:val="0"/>
          <w:color w:val="135194"/>
          <w:spacing w:val="0"/>
          <w:kern w:val="0"/>
          <w:sz w:val="36"/>
          <w:szCs w:val="36"/>
          <w:lang w:val="en-US" w:eastAsia="zh-CN" w:bidi="ar"/>
        </w:rPr>
        <w:t>实施细则〉的决定》政策解读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552"/>
      </w:pPr>
      <w:r>
        <w:rPr>
          <w:rFonts w:hint="eastAsia" w:ascii="宋体" w:hAnsi="宋体" w:eastAsia="宋体" w:cs="宋体"/>
          <w:i w:val="0"/>
          <w:iCs w:val="0"/>
          <w:caps w:val="0"/>
          <w:color w:val="333333"/>
          <w:spacing w:val="0"/>
          <w:sz w:val="19"/>
          <w:szCs w:val="19"/>
        </w:rPr>
        <w:t>发布时间：2022年05月17日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2354"/>
      </w:pPr>
      <w:r>
        <w:rPr>
          <w:rFonts w:hint="eastAsia" w:ascii="宋体" w:hAnsi="宋体" w:eastAsia="宋体" w:cs="宋体"/>
          <w:i w:val="0"/>
          <w:iCs w:val="0"/>
          <w:caps w:val="0"/>
          <w:color w:val="333333"/>
          <w:spacing w:val="0"/>
          <w:sz w:val="19"/>
          <w:szCs w:val="19"/>
        </w:rPr>
        <w:t>字体：[</w:t>
      </w:r>
      <w:r>
        <w:rPr>
          <w:rFonts w:hint="eastAsia" w:ascii="宋体" w:hAnsi="宋体" w:eastAsia="宋体" w:cs="宋体"/>
          <w:i w:val="0"/>
          <w:iCs w:val="0"/>
          <w:caps w:val="0"/>
          <w:color w:val="333333"/>
          <w:spacing w:val="0"/>
          <w:sz w:val="19"/>
          <w:szCs w:val="19"/>
          <w:u w:val="none"/>
        </w:rPr>
        <w:fldChar w:fldCharType="begin"/>
      </w:r>
      <w:r>
        <w:rPr>
          <w:rFonts w:hint="eastAsia" w:ascii="宋体" w:hAnsi="宋体" w:eastAsia="宋体" w:cs="宋体"/>
          <w:i w:val="0"/>
          <w:iCs w:val="0"/>
          <w:caps w:val="0"/>
          <w:color w:val="333333"/>
          <w:spacing w:val="0"/>
          <w:sz w:val="19"/>
          <w:szCs w:val="19"/>
          <w:u w:val="none"/>
        </w:rPr>
        <w:instrText xml:space="preserve"> HYPERLINK "javascript:;" </w:instrText>
      </w:r>
      <w:r>
        <w:rPr>
          <w:rFonts w:hint="eastAsia" w:ascii="宋体" w:hAnsi="宋体" w:eastAsia="宋体" w:cs="宋体"/>
          <w:i w:val="0"/>
          <w:iCs w:val="0"/>
          <w:caps w:val="0"/>
          <w:color w:val="333333"/>
          <w:spacing w:val="0"/>
          <w:sz w:val="19"/>
          <w:szCs w:val="19"/>
          <w:u w:val="none"/>
        </w:rPr>
        <w:fldChar w:fldCharType="separate"/>
      </w:r>
      <w:r>
        <w:rPr>
          <w:rStyle w:val="7"/>
          <w:rFonts w:hint="eastAsia" w:ascii="宋体" w:hAnsi="宋体" w:eastAsia="宋体" w:cs="宋体"/>
          <w:i w:val="0"/>
          <w:iCs w:val="0"/>
          <w:caps w:val="0"/>
          <w:color w:val="333333"/>
          <w:spacing w:val="0"/>
          <w:sz w:val="19"/>
          <w:szCs w:val="19"/>
          <w:u w:val="none"/>
        </w:rPr>
        <w:t>大</w:t>
      </w:r>
      <w:r>
        <w:rPr>
          <w:rFonts w:hint="eastAsia" w:ascii="宋体" w:hAnsi="宋体" w:eastAsia="宋体" w:cs="宋体"/>
          <w:i w:val="0"/>
          <w:iCs w:val="0"/>
          <w:caps w:val="0"/>
          <w:color w:val="333333"/>
          <w:spacing w:val="0"/>
          <w:sz w:val="19"/>
          <w:szCs w:val="19"/>
          <w:u w:val="none"/>
        </w:rPr>
        <w:fldChar w:fldCharType="end"/>
      </w:r>
      <w:r>
        <w:rPr>
          <w:rFonts w:hint="eastAsia" w:ascii="宋体" w:hAnsi="宋体" w:eastAsia="宋体" w:cs="宋体"/>
          <w:i w:val="0"/>
          <w:iCs w:val="0"/>
          <w:caps w:val="0"/>
          <w:color w:val="333333"/>
          <w:spacing w:val="0"/>
          <w:sz w:val="19"/>
          <w:szCs w:val="19"/>
          <w:u w:val="none"/>
        </w:rPr>
        <w:fldChar w:fldCharType="begin"/>
      </w:r>
      <w:r>
        <w:rPr>
          <w:rFonts w:hint="eastAsia" w:ascii="宋体" w:hAnsi="宋体" w:eastAsia="宋体" w:cs="宋体"/>
          <w:i w:val="0"/>
          <w:iCs w:val="0"/>
          <w:caps w:val="0"/>
          <w:color w:val="333333"/>
          <w:spacing w:val="0"/>
          <w:sz w:val="19"/>
          <w:szCs w:val="19"/>
          <w:u w:val="none"/>
        </w:rPr>
        <w:instrText xml:space="preserve"> HYPERLINK "javascript:;" </w:instrText>
      </w:r>
      <w:r>
        <w:rPr>
          <w:rFonts w:hint="eastAsia" w:ascii="宋体" w:hAnsi="宋体" w:eastAsia="宋体" w:cs="宋体"/>
          <w:i w:val="0"/>
          <w:iCs w:val="0"/>
          <w:caps w:val="0"/>
          <w:color w:val="333333"/>
          <w:spacing w:val="0"/>
          <w:sz w:val="19"/>
          <w:szCs w:val="19"/>
          <w:u w:val="none"/>
        </w:rPr>
        <w:fldChar w:fldCharType="separate"/>
      </w:r>
      <w:r>
        <w:rPr>
          <w:rStyle w:val="7"/>
          <w:rFonts w:hint="eastAsia" w:ascii="宋体" w:hAnsi="宋体" w:eastAsia="宋体" w:cs="宋体"/>
          <w:i w:val="0"/>
          <w:iCs w:val="0"/>
          <w:caps w:val="0"/>
          <w:color w:val="333333"/>
          <w:spacing w:val="0"/>
          <w:sz w:val="19"/>
          <w:szCs w:val="19"/>
          <w:u w:val="none"/>
        </w:rPr>
        <w:t>中</w:t>
      </w:r>
      <w:r>
        <w:rPr>
          <w:rFonts w:hint="eastAsia" w:ascii="宋体" w:hAnsi="宋体" w:eastAsia="宋体" w:cs="宋体"/>
          <w:i w:val="0"/>
          <w:iCs w:val="0"/>
          <w:caps w:val="0"/>
          <w:color w:val="333333"/>
          <w:spacing w:val="0"/>
          <w:sz w:val="19"/>
          <w:szCs w:val="19"/>
          <w:u w:val="none"/>
        </w:rPr>
        <w:fldChar w:fldCharType="end"/>
      </w:r>
      <w:r>
        <w:rPr>
          <w:rFonts w:hint="eastAsia" w:ascii="宋体" w:hAnsi="宋体" w:eastAsia="宋体" w:cs="宋体"/>
          <w:i w:val="0"/>
          <w:iCs w:val="0"/>
          <w:caps w:val="0"/>
          <w:color w:val="333333"/>
          <w:spacing w:val="0"/>
          <w:sz w:val="19"/>
          <w:szCs w:val="19"/>
          <w:u w:val="none"/>
        </w:rPr>
        <w:fldChar w:fldCharType="begin"/>
      </w:r>
      <w:r>
        <w:rPr>
          <w:rFonts w:hint="eastAsia" w:ascii="宋体" w:hAnsi="宋体" w:eastAsia="宋体" w:cs="宋体"/>
          <w:i w:val="0"/>
          <w:iCs w:val="0"/>
          <w:caps w:val="0"/>
          <w:color w:val="333333"/>
          <w:spacing w:val="0"/>
          <w:sz w:val="19"/>
          <w:szCs w:val="19"/>
          <w:u w:val="none"/>
        </w:rPr>
        <w:instrText xml:space="preserve"> HYPERLINK "javascript:;" </w:instrText>
      </w:r>
      <w:r>
        <w:rPr>
          <w:rFonts w:hint="eastAsia" w:ascii="宋体" w:hAnsi="宋体" w:eastAsia="宋体" w:cs="宋体"/>
          <w:i w:val="0"/>
          <w:iCs w:val="0"/>
          <w:caps w:val="0"/>
          <w:color w:val="333333"/>
          <w:spacing w:val="0"/>
          <w:sz w:val="19"/>
          <w:szCs w:val="19"/>
          <w:u w:val="none"/>
        </w:rPr>
        <w:fldChar w:fldCharType="separate"/>
      </w:r>
      <w:r>
        <w:rPr>
          <w:rStyle w:val="7"/>
          <w:rFonts w:hint="eastAsia" w:ascii="宋体" w:hAnsi="宋体" w:eastAsia="宋体" w:cs="宋体"/>
          <w:i w:val="0"/>
          <w:iCs w:val="0"/>
          <w:caps w:val="0"/>
          <w:color w:val="333333"/>
          <w:spacing w:val="0"/>
          <w:sz w:val="19"/>
          <w:szCs w:val="19"/>
          <w:u w:val="none"/>
        </w:rPr>
        <w:t>小</w:t>
      </w:r>
      <w:r>
        <w:rPr>
          <w:rFonts w:hint="eastAsia" w:ascii="宋体" w:hAnsi="宋体" w:eastAsia="宋体" w:cs="宋体"/>
          <w:i w:val="0"/>
          <w:iCs w:val="0"/>
          <w:caps w:val="0"/>
          <w:color w:val="333333"/>
          <w:spacing w:val="0"/>
          <w:sz w:val="19"/>
          <w:szCs w:val="19"/>
          <w:u w:val="none"/>
        </w:rPr>
        <w:fldChar w:fldCharType="end"/>
      </w:r>
      <w:r>
        <w:rPr>
          <w:rFonts w:hint="eastAsia" w:ascii="宋体" w:hAnsi="宋体" w:eastAsia="宋体" w:cs="宋体"/>
          <w:i w:val="0"/>
          <w:iCs w:val="0"/>
          <w:caps w:val="0"/>
          <w:color w:val="333333"/>
          <w:spacing w:val="0"/>
          <w:sz w:val="19"/>
          <w:szCs w:val="19"/>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tLeast"/>
        <w:ind w:left="2354" w:right="552"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999999"/>
          <w:spacing w:val="0"/>
          <w:kern w:val="0"/>
          <w:sz w:val="19"/>
          <w:szCs w:val="19"/>
          <w:u w:val="none"/>
          <w:lang w:val="en-US" w:eastAsia="zh-CN" w:bidi="ar"/>
        </w:rPr>
        <w:fldChar w:fldCharType="begin"/>
      </w:r>
      <w:r>
        <w:rPr>
          <w:rFonts w:hint="eastAsia" w:ascii="宋体" w:hAnsi="宋体" w:eastAsia="宋体" w:cs="宋体"/>
          <w:i w:val="0"/>
          <w:iCs w:val="0"/>
          <w:caps w:val="0"/>
          <w:color w:val="999999"/>
          <w:spacing w:val="0"/>
          <w:kern w:val="0"/>
          <w:sz w:val="19"/>
          <w:szCs w:val="19"/>
          <w:u w:val="none"/>
          <w:lang w:val="en-US" w:eastAsia="zh-CN" w:bidi="ar"/>
        </w:rPr>
        <w:instrText xml:space="preserve"> HYPERLINK "javascript:window.print()" \o "打印" </w:instrText>
      </w:r>
      <w:r>
        <w:rPr>
          <w:rFonts w:hint="eastAsia" w:ascii="宋体" w:hAnsi="宋体" w:eastAsia="宋体" w:cs="宋体"/>
          <w:i w:val="0"/>
          <w:iCs w:val="0"/>
          <w:caps w:val="0"/>
          <w:color w:val="999999"/>
          <w:spacing w:val="0"/>
          <w:kern w:val="0"/>
          <w:sz w:val="19"/>
          <w:szCs w:val="19"/>
          <w:u w:val="none"/>
          <w:lang w:val="en-US" w:eastAsia="zh-CN" w:bidi="ar"/>
        </w:rPr>
        <w:fldChar w:fldCharType="separate"/>
      </w:r>
      <w:r>
        <w:rPr>
          <w:rStyle w:val="7"/>
          <w:rFonts w:hint="eastAsia" w:ascii="宋体" w:hAnsi="宋体" w:eastAsia="宋体" w:cs="宋体"/>
          <w:i w:val="0"/>
          <w:iCs w:val="0"/>
          <w:caps w:val="0"/>
          <w:color w:val="999999"/>
          <w:spacing w:val="0"/>
          <w:sz w:val="19"/>
          <w:szCs w:val="19"/>
          <w:u w:val="none"/>
        </w:rPr>
        <w:t>打印</w:t>
      </w:r>
      <w:r>
        <w:rPr>
          <w:rFonts w:hint="eastAsia" w:ascii="宋体" w:hAnsi="宋体" w:eastAsia="宋体" w:cs="宋体"/>
          <w:i w:val="0"/>
          <w:iCs w:val="0"/>
          <w:caps w:val="0"/>
          <w:color w:val="999999"/>
          <w:spacing w:val="0"/>
          <w:kern w:val="0"/>
          <w:sz w:val="19"/>
          <w:szCs w:val="19"/>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lang w:val="en-US" w:eastAsia="zh-CN" w:bidi="ar"/>
        </w:rPr>
        <w:t>　　近日，文化和旅游部印发了《关于修改〈营业性演出管理条例实施细则〉的决定》，对《营业性演出管理条例实施细则》（以下简称《细则》）部分条款进行了修订。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w:t>
      </w:r>
      <w:r>
        <w:rPr>
          <w:rStyle w:val="6"/>
          <w:rFonts w:hint="eastAsia" w:ascii="宋体" w:hAnsi="宋体" w:eastAsia="宋体" w:cs="宋体"/>
          <w:i w:val="0"/>
          <w:iCs w:val="0"/>
          <w:caps w:val="0"/>
          <w:color w:val="333333"/>
          <w:spacing w:val="0"/>
          <w:sz w:val="24"/>
          <w:szCs w:val="24"/>
        </w:rPr>
        <w:t>一、《细则》修订的背景是什么？</w:t>
      </w:r>
      <w:r>
        <w:rPr>
          <w:rFonts w:hint="eastAsia" w:ascii="宋体" w:hAnsi="宋体" w:eastAsia="宋体" w:cs="宋体"/>
          <w:i w:val="0"/>
          <w:iCs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现行《细则》是为贯彻《营业性演出管理条例》制定的部门规章，2009年起施行，2017年进行了部分修订。《细则》的实施，为规范演出市场秩序、促进演出市场繁荣健康发展发挥了重要作用。但随着有关法律法规的修订和演出市场的发展，《细则》需要进一步与《营业性演出管理条例》《外商投资法》《行政许可法》《行政处罚法》等做好政策衔接，同时按照“放管服”改革要求，亟需对《细则》有关条款进行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w:t>
      </w:r>
      <w:r>
        <w:rPr>
          <w:rStyle w:val="6"/>
          <w:rFonts w:hint="eastAsia" w:ascii="宋体" w:hAnsi="宋体" w:eastAsia="宋体" w:cs="宋体"/>
          <w:i w:val="0"/>
          <w:iCs w:val="0"/>
          <w:caps w:val="0"/>
          <w:color w:val="333333"/>
          <w:spacing w:val="0"/>
          <w:sz w:val="24"/>
          <w:szCs w:val="24"/>
        </w:rPr>
        <w:t>二、《细则》修订的主要内容是什么？</w:t>
      </w:r>
      <w:r>
        <w:rPr>
          <w:rFonts w:hint="eastAsia" w:ascii="宋体" w:hAnsi="宋体" w:eastAsia="宋体" w:cs="宋体"/>
          <w:i w:val="0"/>
          <w:iCs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细则》修订主要有四方面内容：一是落实《营业性演出管理条例》《外商投资法》关于外商投资的规定，明确了港澳台及外商投资者投资设立演出经纪机构和演出场所经营单位、港澳投资者投资设立由内地方控股的文艺表演团体，需要提交的材料。二是与《行政许可法》关于行政许可实施机关的规定相衔接，明确文化和旅游主管部门对演出经纪人员的资格认定、从业活动实施监督管理。三是与《行政处罚法》关于行政处罚的种类和设定的规定相衔接，调整涉外演出在批准的时间内增加演出地，未到演出所在地省级人民政府文化和旅游主管部门备案的处罚措施。四是根据机构改革要求,对部门名称等表述进行修改，同时对部分条文顺序和个别文字作相应修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w:t>
      </w:r>
      <w:r>
        <w:rPr>
          <w:rStyle w:val="6"/>
          <w:rFonts w:hint="eastAsia" w:ascii="宋体" w:hAnsi="宋体" w:eastAsia="宋体" w:cs="宋体"/>
          <w:i w:val="0"/>
          <w:iCs w:val="0"/>
          <w:caps w:val="0"/>
          <w:color w:val="333333"/>
          <w:spacing w:val="0"/>
          <w:sz w:val="24"/>
          <w:szCs w:val="24"/>
        </w:rPr>
        <w:t>三、营业性演出领域的行政许可事项有哪些？有何联系？</w:t>
      </w:r>
      <w:r>
        <w:rPr>
          <w:rFonts w:hint="eastAsia" w:ascii="宋体" w:hAnsi="宋体" w:eastAsia="宋体" w:cs="宋体"/>
          <w:i w:val="0"/>
          <w:iCs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目前，营业性演出领域行政许可主要包括三类主体审批、一类活动审批和一个资格认定。“三类主体”是指文艺表演团体、演出经纪机构、演出场所经营单位，“活动”是指营业性演出活动，“资格认定”是指演出经纪人员资格认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获批成为演出市场主体（文艺表演团体、演出经纪机构、演出场所经营单位），是申请举办营业性演出活动的前提条件。从事演出经纪活动的个人需要具备演出经纪人员资格。演出经纪机构申请从事营业性演出经营活动（演出经纪机构设立审批）须有3名专职演出经纪人员；演出经纪机构举办营业性演出活动，应当安排专职演出经纪人员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w:t>
      </w:r>
      <w:r>
        <w:rPr>
          <w:rStyle w:val="6"/>
          <w:rFonts w:hint="eastAsia" w:ascii="宋体" w:hAnsi="宋体" w:eastAsia="宋体" w:cs="宋体"/>
          <w:i w:val="0"/>
          <w:iCs w:val="0"/>
          <w:caps w:val="0"/>
          <w:color w:val="333333"/>
          <w:spacing w:val="0"/>
          <w:sz w:val="24"/>
          <w:szCs w:val="24"/>
        </w:rPr>
        <w:t>四、举办营业性演出活动应向哪个部门提出申请？</w:t>
      </w:r>
      <w:r>
        <w:rPr>
          <w:rFonts w:hint="eastAsia" w:ascii="宋体" w:hAnsi="宋体" w:eastAsia="宋体" w:cs="宋体"/>
          <w:i w:val="0"/>
          <w:iCs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举办仅有内地（大陆）文艺表演团体、个人参加的营业性演出，演出举办单位应当向演出所在地县级人民政府文化和旅游主管部门提出申请。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552" w:right="552"/>
        <w:jc w:val="both"/>
        <w:rPr>
          <w:rFonts w:hint="eastAsia" w:ascii="宋体" w:hAnsi="宋体" w:eastAsia="宋体" w:cs="宋体"/>
          <w:color w:val="333333"/>
          <w:sz w:val="19"/>
          <w:szCs w:val="19"/>
        </w:rPr>
      </w:pPr>
      <w:r>
        <w:rPr>
          <w:rFonts w:hint="eastAsia" w:ascii="宋体" w:hAnsi="宋体" w:eastAsia="宋体" w:cs="宋体"/>
          <w:i w:val="0"/>
          <w:iCs w:val="0"/>
          <w:caps w:val="0"/>
          <w:color w:val="333333"/>
          <w:spacing w:val="0"/>
          <w:sz w:val="24"/>
          <w:szCs w:val="24"/>
        </w:rPr>
        <w:t>　　举办外国、香港特别行政区、澳门特别行政区、台湾地区文艺表演团体、个人参加的营业性演出，演出举办单位应当向演出所在地省、自治区、直辖市人民政府文化和旅游主管部门提出申请。  </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B3E71"/>
    <w:rsid w:val="128B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2024-11-25T03:11:00Z</dcterms:created>
  <dc:creator>ADMIN</dc:creator>
  <cp:lastModifiedBy>ADMIN</cp:lastModifiedBy>
  <dcterms:modified xsi:type="dcterms:W3CDTF">2024-11-25T03:13:04Z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C8698AAD8EFE4989ADE92F2394C239AE</vt:lpwstr>
  </property>
</Properties>
</file>