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rPr>
          <w:rFonts w:hint="eastAsia" w:ascii="黑体" w:hAnsi="黑体" w:eastAsia="黑体" w:cs="方正黑体_GBK"/>
        </w:rPr>
      </w:pPr>
      <w:r>
        <w:rPr>
          <w:rFonts w:hint="eastAsia" w:ascii="黑体" w:hAnsi="黑体" w:eastAsia="黑体" w:cs="方正黑体_GBK"/>
        </w:rPr>
        <w:t>附件1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rPr>
          <w:rFonts w:hint="eastAsia" w:ascii="方正小标宋_GBK" w:hAnsi="方正小标宋_GBK" w:eastAsia="方正小标宋_GBK"/>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eastAsia="方正小标宋_GBK" w:hAnsiTheme="minorHAnsi" w:cstheme="minorBidi"/>
          <w:sz w:val="44"/>
          <w:szCs w:val="44"/>
          <w14:ligatures w14:val="standardContextual"/>
        </w:rPr>
      </w:pPr>
      <w:r>
        <w:rPr>
          <w:rFonts w:hint="eastAsia" w:ascii="方正小标宋_GBK" w:eastAsia="方正小标宋_GBK" w:hAnsiTheme="minorHAnsi" w:cstheme="minorBidi"/>
          <w:sz w:val="44"/>
          <w:szCs w:val="44"/>
          <w14:ligatures w14:val="standardContextual"/>
        </w:rPr>
        <w:t>新疆维吾尔自治区野外文物看护员</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eastAsia="方正小标宋_GBK" w:hAnsiTheme="minorHAnsi" w:cstheme="minorBidi"/>
          <w:sz w:val="44"/>
          <w:szCs w:val="44"/>
          <w14:ligatures w14:val="standardContextual"/>
        </w:rPr>
      </w:pPr>
      <w:r>
        <w:rPr>
          <w:rFonts w:hint="eastAsia" w:ascii="方正小标宋_GBK" w:eastAsia="方正小标宋_GBK" w:hAnsiTheme="minorHAnsi" w:cstheme="minorBidi"/>
          <w:sz w:val="44"/>
          <w:szCs w:val="44"/>
          <w14:ligatures w14:val="standardContextual"/>
        </w:rPr>
        <w:t>管理办法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Theme="minorHAnsi" w:cstheme="minorBidi"/>
          <w14:ligatures w14:val="standardContextual"/>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theme="minorBidi"/>
          <w14:ligatures w14:val="standardContextual"/>
        </w:rPr>
      </w:pPr>
      <w:r>
        <w:rPr>
          <w:rFonts w:hint="eastAsia" w:ascii="黑体" w:hAnsi="黑体" w:eastAsia="黑体" w:cstheme="minorBidi"/>
          <w14:ligatures w14:val="standardContextual"/>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第一条</w:t>
      </w:r>
      <w:r>
        <w:rPr>
          <w:rFonts w:hint="eastAsia" w:ascii="仿宋_GB2312" w:hAnsiTheme="minorHAnsi" w:cstheme="minorBidi"/>
          <w14:ligatures w14:val="standardContextual"/>
        </w:rPr>
        <w:t xml:space="preserve"> 为了加强对新疆野外文物的保护，规范野外文物看护员队伍的建设和管理，根据《中华人民共和国文物保护法》《中华人民共和国文物保护法实施条例》《新疆维吾尔自治区实施〈中华人民共和国文物保护法〉办法》《关于加强文物保护利用改革的若干意见》《关于进一步加强文物安全工作的实施意见》以及预算管理等法律法规及有关规定，结合我区文物保护工作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第二条</w:t>
      </w:r>
      <w:r>
        <w:rPr>
          <w:rFonts w:hint="eastAsia" w:ascii="仿宋_GB2312" w:hAnsiTheme="minorHAnsi" w:cstheme="minorBidi"/>
          <w14:ligatures w14:val="standardContextual"/>
        </w:rPr>
        <w:t xml:space="preserve"> 本办法适用于自治区行政区域内野外文物看护员（以下简称看护员）的聘任、管理和指导。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第三条</w:t>
      </w:r>
      <w:r>
        <w:rPr>
          <w:rFonts w:hint="eastAsia" w:ascii="仿宋_GB2312" w:hAnsiTheme="minorHAnsi" w:cstheme="minorBidi"/>
          <w14:ligatures w14:val="standardContextual"/>
        </w:rPr>
        <w:t xml:space="preserve"> 本办法所称的看护员是指受文物行政部门聘用，接受其管理指导，认真履行保护文物义务，协助文物行政部门实施文物保护管理，专职履行野外文物看护职责的人员。各级文物行政部门和文博管理单位不得安排看护员从事野外文物看护巡查以外的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第四条</w:t>
      </w:r>
      <w:r>
        <w:rPr>
          <w:rFonts w:hint="eastAsia" w:ascii="仿宋_GB2312" w:hAnsiTheme="minorHAnsi" w:cstheme="minorBidi"/>
          <w14:ligatures w14:val="standardContextual"/>
        </w:rPr>
        <w:t xml:space="preserve"> 自治区文物局负责指导全区看护员队伍建设，以及自治区聘用看护员的监督检查、经费保障和综合评估。地（州、市）文物行政部门负责本地区看护员队伍建设，补助经费使用的监督检查，年度管理工作评估；县（市、区）级文物行政部门负责本辖区管理制度的制订，看护责任区域的划分、看护员队伍的组建及日常监管、培训考核等。</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theme="minorBidi"/>
          <w14:ligatures w14:val="standardContextual"/>
        </w:rPr>
      </w:pPr>
      <w:r>
        <w:rPr>
          <w:rFonts w:hint="eastAsia" w:ascii="黑体" w:hAnsi="黑体" w:eastAsia="黑体" w:cstheme="minorBidi"/>
          <w14:ligatures w14:val="standardContextual"/>
        </w:rPr>
        <w:t>第二章  看护员选拔聘用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第五条</w:t>
      </w:r>
      <w:r>
        <w:rPr>
          <w:rFonts w:hint="eastAsia" w:ascii="仿宋_GB2312" w:hAnsiTheme="minorHAnsi" w:cstheme="minorBidi"/>
          <w14:ligatures w14:val="standardContextual"/>
        </w:rPr>
        <w:t xml:space="preserve"> 看护员选拔条件：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（一）拥护党的领导，遵纪守法，热爱文物保护事业，具有较强的事业心、责任心，有一定的组织协调能力，能密切联系群众，做好群众工作，调动群众热爱文物、保护文物的积极性；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（二）具有一定文化程度，具备一定的文物看护能力和文物保护业务常识，熟悉看护区域内野外文物环境及周边社情等；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（三）身体健康，能胜任野外文物巡查工作，年龄18-60周岁，现实表现优秀的现任看护员可放宽至63周岁；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（四）本地常住农牧民、低收入家庭人员优先选聘；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（五）熟练掌握国家通用语言文字人员优先选聘。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第六条</w:t>
      </w:r>
      <w:r>
        <w:rPr>
          <w:rFonts w:hint="eastAsia" w:ascii="仿宋_GB2312" w:hAnsiTheme="minorHAnsi" w:cstheme="minorBidi"/>
          <w14:ligatures w14:val="standardContextual"/>
        </w:rPr>
        <w:t xml:space="preserve"> 各级文物行政部门应当公开选聘看护员，同时根据野外文物保护单位的保护范围和建设控制地带，管护巡查线路和自然地形等因素，合理划分看护责任区域。根据野外文物保护单位的具体情况确定看护员数量，原则上不少于1名看护员，规模较大或者风险等级较高的文物保护单位配备2名以上看护员。自治区聘用的看护员负责全国重点文物保护单位、自治区级文物保护单位的巡查看护，</w:t>
      </w:r>
      <w:r>
        <w:rPr>
          <w:rFonts w:ascii="仿宋_GB2312" w:hAnsiTheme="minorHAnsi" w:cstheme="minorBidi"/>
          <w14:ligatures w14:val="standardContextual"/>
        </w:rPr>
        <w:t>地州、县市自聘文物看护员</w:t>
      </w:r>
      <w:r>
        <w:rPr>
          <w:rFonts w:hint="eastAsia" w:ascii="仿宋_GB2312" w:hAnsiTheme="minorHAnsi" w:cstheme="minorBidi"/>
          <w14:ligatures w14:val="standardContextual"/>
        </w:rPr>
        <w:t>负责县级文物保护单位、未定级不可移动文物的巡查看护。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第七条</w:t>
      </w:r>
      <w:r>
        <w:rPr>
          <w:rFonts w:hint="eastAsia" w:ascii="仿宋_GB2312" w:hAnsiTheme="minorHAnsi" w:cstheme="minorBidi"/>
          <w14:ligatures w14:val="standardContextual"/>
        </w:rPr>
        <w:t xml:space="preserve"> 拟聘任的看护员由本人申请或所在地村委会（社区）征得本人同意后推荐，报请乡镇人民政府（街道办事处）核准，填写《新疆维吾尔自治区野外文物看护员登记表》，经县级文物行政部门审核同意，向社会公示，无异议后签订聘用协议，明确看护范围、职责、期限、待遇等。配发由自治区文物局统一印制的《野外文物看护员证》，人员名册报地（州、市）文物行政部门备案，其中自治区聘用看护员应报自治区文物局备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theme="minorBidi"/>
          <w14:ligatures w14:val="standardContextual"/>
        </w:rPr>
      </w:pPr>
      <w:r>
        <w:rPr>
          <w:rFonts w:hint="eastAsia" w:ascii="黑体" w:hAnsi="黑体" w:eastAsia="黑体" w:cstheme="minorBidi"/>
          <w14:ligatures w14:val="standardContextual"/>
        </w:rPr>
        <w:t>第三章  看护员权利和职责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第八条</w:t>
      </w:r>
      <w:r>
        <w:rPr>
          <w:rFonts w:hint="eastAsia" w:ascii="仿宋_GB2312" w:hAnsiTheme="minorHAnsi" w:cstheme="minorBidi"/>
          <w14:ligatures w14:val="standardContextual"/>
        </w:rPr>
        <w:t xml:space="preserve"> 看护员享有下列权利：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（一）按照聘用协议领取野外文物看护补助金；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（二）获取有关文物宣传资料，参加文物行政部门召开的有关会议、组织的培训等活动；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（三）对文物保护与管理工作提出意见和建议；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（四）凭《野外文物看护员证》免费参观自治区内由文物部门管理的博物馆、纪念馆和文物保护单位；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（五）终止担任看护员的权利。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第九条</w:t>
      </w:r>
      <w:r>
        <w:rPr>
          <w:rFonts w:hint="eastAsia" w:ascii="仿宋_GB2312" w:hAnsiTheme="minorHAnsi" w:cstheme="minorBidi"/>
          <w14:ligatures w14:val="standardContextual"/>
        </w:rPr>
        <w:t xml:space="preserve"> 看护员主要工作职责：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（一）严格遵守国家文物保护的法律、法规、规章，主动向周边群众宣传文物保护法律法规和相关知识，提高群众文物保护意识；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（二）在上级文物行政部门的指导下，参与调查、了解文物保护单位基本情况，熟悉文物看护的基本要求；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三）切实履行巡查职责，及时、准确上报或反映文物安全信息。检查文物保护单位的本体及保护范围、建设控制地带内原有格局、环境和历史风貌的保护状况。按规定上报巡查检查工作情况，上传有关照片、影像资料，并做好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四）发现破坏、污染文物保护单位本体及其附属文物和保护范围、建设控制地带内原有格局和环境、历史风貌，擅自移动、拆除、污损、破坏文物保护标志等违法违规行为，采取妥当方式予以制止，并在第一时间报告当地文物行政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（五）发现文物保护单位本体及其保护范围和建设控制地带受自然损坏现象或存在的自然损坏隐患，立即采取妥善保护措施，并向当地文物行政部门报告；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（六）巡查时发现盗窃、盗掘、破坏文物等违法犯罪现象，立即报告当地文物行政部门，并积极协助配合文物、公安做好查处工作；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（七）及时上交在文物调查及其他途径中所获取的文物和相关资料，并协助文物行政部门积极动员其他人员上交出土文物；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（八）严守国家文物机密，未经法定程序批准，不得擅自对外提供未经发表的重要文物信息和资料，不得借机谋取私利；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（九）配合文物部门开展检查调研、考古调查、文物看护项目等相关工作。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看护员原则上不得从事与履行看护巡查职责相冲突的兼职活动。确需从事农牧生产等其他兼职活动的，应将兼职工作内容、地点、时间向聘用单位报告，经核准同意后，方可从事兼职活动，且不得影响看护职责的履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theme="minorBidi"/>
          <w14:ligatures w14:val="standardContextual"/>
        </w:rPr>
      </w:pPr>
      <w:r>
        <w:rPr>
          <w:rFonts w:hint="eastAsia" w:ascii="黑体" w:hAnsi="黑体" w:eastAsia="黑体" w:cstheme="minorBidi"/>
          <w14:ligatures w14:val="standardContextual"/>
        </w:rPr>
        <w:t>第四章  看护员的管理和培训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第十条</w:t>
      </w:r>
      <w:r>
        <w:rPr>
          <w:rFonts w:hint="eastAsia" w:ascii="仿宋_GB2312" w:hAnsiTheme="minorHAnsi" w:cstheme="minorBidi"/>
          <w14:ligatures w14:val="standardContextual"/>
        </w:rPr>
        <w:t xml:space="preserve"> 自治区聘用的看护员，由自治区文物行政部门委托县级文物行政部门与其签订文物保护单位看护合同（责任书），并做好监督管理培训及考核；地州、县市自聘看护员，应当签订文物保护单位看护合同（责任书），明确专人具体负责看护员日常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 xml:space="preserve">第十一条 </w:t>
      </w:r>
      <w:r>
        <w:rPr>
          <w:rFonts w:hint="eastAsia" w:ascii="仿宋_GB2312" w:hAnsiTheme="minorHAnsi" w:cstheme="minorBidi"/>
          <w14:ligatures w14:val="standardContextual"/>
        </w:rPr>
        <w:t>看护员与被看护的文物保护单位的距离在30公里以内，每月巡查不少于20天，距离30公里以上，每月巡查不少于15天，每天巡查时间不少于3小时。极度偏远、高海拔等特殊位置，极热极寒等特殊气候，巡查次数、点位、线路由县级文物行政部门合理制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 xml:space="preserve">第十二条 </w:t>
      </w:r>
      <w:r>
        <w:rPr>
          <w:rFonts w:hint="eastAsia" w:ascii="仿宋_GB2312" w:hAnsiTheme="minorHAnsi" w:cstheme="minorBidi"/>
          <w14:ligatures w14:val="standardContextual"/>
        </w:rPr>
        <w:t>各级文物行政部门要加强对看护员的监督和管理，建立健全岗位责任制，定期组织召开看护员例会，要对看护员的出勤、管护等情况依照县文物行政部门制定的有关规定进行考核。</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theme="minorBidi"/>
          <w14:ligatures w14:val="standardContextual"/>
        </w:rPr>
      </w:pPr>
      <w:r>
        <w:rPr>
          <w:rFonts w:hint="eastAsia" w:ascii="仿宋_GB2312" w:hAnsiTheme="minorHAnsi" w:cstheme="minorBidi"/>
          <w:b/>
          <w:bCs/>
          <w14:ligatures w14:val="standardContextual"/>
        </w:rPr>
        <w:t>第十三条</w:t>
      </w:r>
      <w:r>
        <w:rPr>
          <w:rFonts w:hint="eastAsia" w:ascii="仿宋_GB2312" w:hAnsiTheme="minorHAnsi" w:cstheme="minorBidi"/>
          <w14:ligatures w14:val="standardContextual"/>
        </w:rPr>
        <w:t xml:space="preserve"> 看护员的常规业务培训工作由县级文物行政部门具体负责实施，每年至少组织一次集中培训。新聘用看护员需参加文物法律法规、文物识别、巡查技能等培训。培训结束后必须进行考核，考核不合格者不得上岗。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 xml:space="preserve">第十四条 </w:t>
      </w:r>
      <w:r>
        <w:rPr>
          <w:rFonts w:hint="eastAsia" w:ascii="仿宋_GB2312" w:hAnsiTheme="minorHAnsi" w:cstheme="minorBidi"/>
          <w14:ligatures w14:val="standardContextual"/>
        </w:rPr>
        <w:t>看护员培训的主要内容：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（一）中华人民共和国文物保护法；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（二）中华人民共和国文物保护法实施条例；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（三）国家、自治区出台的关于文物管理、文物安全方面的相关法律、法规；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（四）新疆维吾尔自治区野外文物看护员管理办法；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（五）相关典型案例、先进人物、经验做法等内容；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（六）其他相关方面的内容。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第十五条</w:t>
      </w:r>
      <w:r>
        <w:rPr>
          <w:rFonts w:hint="eastAsia" w:ascii="仿宋_GB2312" w:hAnsiTheme="minorHAnsi" w:cstheme="minorBidi"/>
          <w14:ligatures w14:val="standardContextual"/>
        </w:rPr>
        <w:t xml:space="preserve"> 看护员培训可采取集中授课、观看视频、座谈交流、实地演练等方式，重点强化看护员文物保护的基本常识，提升安全意识和突发情况处置能力。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第十六条</w:t>
      </w:r>
      <w:r>
        <w:rPr>
          <w:rFonts w:hint="eastAsia" w:ascii="仿宋_GB2312" w:hAnsiTheme="minorHAnsi" w:cstheme="minorBidi"/>
          <w14:ligatures w14:val="standardContextual"/>
        </w:rPr>
        <w:t xml:space="preserve"> 各级文物行政部门要科学制定看护员培训方案，明确培训时间、地点、人数、内容、组织方式，对培训考勤、考核结果要记录在案。</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第十七条</w:t>
      </w:r>
      <w:r>
        <w:rPr>
          <w:rFonts w:hint="eastAsia" w:ascii="仿宋_GB2312" w:hAnsiTheme="minorHAnsi" w:cstheme="minorBidi"/>
          <w14:ligatures w14:val="standardContextual"/>
        </w:rPr>
        <w:t xml:space="preserve"> 各级文物行政部门要建立看护员档案，记录其履职情况、培训情况、考核结果；对不能胜任工作或违反规定的，及时调整或解聘。看护员离职需本人提前30日申请，经聘用单位批准，报上级文物行政部门备案后办理解除聘用协议手续，并收回《野外文物看护员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theme="minorBidi"/>
          <w14:ligatures w14:val="standardContextual"/>
        </w:rPr>
      </w:pPr>
      <w:r>
        <w:rPr>
          <w:rFonts w:hint="eastAsia" w:ascii="黑体" w:hAnsi="黑体" w:eastAsia="黑体" w:cstheme="minorBidi"/>
          <w14:ligatures w14:val="standardContextual"/>
        </w:rPr>
        <w:t>第五章  看护员补助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theme="minorBidi"/>
          <w:color w:val="EE0000"/>
          <w14:ligatures w14:val="standardContextual"/>
        </w:rPr>
      </w:pPr>
      <w:r>
        <w:rPr>
          <w:rFonts w:hint="eastAsia" w:ascii="仿宋_GB2312" w:hAnsiTheme="minorHAnsi" w:cstheme="minorBidi"/>
          <w:b/>
          <w:bCs/>
          <w14:ligatures w14:val="standardContextual"/>
        </w:rPr>
        <w:t xml:space="preserve">第十八条 </w:t>
      </w:r>
      <w:r>
        <w:rPr>
          <w:rFonts w:ascii="仿宋_GB2312" w:hAnsiTheme="minorHAnsi" w:cstheme="minorBidi"/>
          <w14:ligatures w14:val="standardContextual"/>
        </w:rPr>
        <w:t>自治区聘用的全国重点文物保护单位和自治区级文物保护单位看护员的补助经费，由自治区本级财政按照预算管理规定予以保障，补助标准为每人每月不高于2000元(含2000元)。地州、县市自聘文物看护员补助经费，可参照自治区本级保障标准，结合同级财政财力情况合理确定</w:t>
      </w:r>
      <w:r>
        <w:rPr>
          <w:rFonts w:hint="eastAsia" w:ascii="仿宋_GB2312" w:hAnsiTheme="minorHAnsi" w:cstheme="minorBidi"/>
          <w14:ligatures w14:val="standardContextual"/>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 xml:space="preserve">第十九条 </w:t>
      </w:r>
      <w:r>
        <w:rPr>
          <w:rFonts w:hint="eastAsia" w:ascii="仿宋_GB2312" w:hAnsiTheme="minorHAnsi" w:cstheme="minorBidi"/>
          <w14:ligatures w14:val="standardContextual"/>
        </w:rPr>
        <w:t>聘用单位统一为野外文物看护员办理人身意外伤害保险，投保费用从文物看护员补助经费中列支。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第二十条</w:t>
      </w:r>
      <w:r>
        <w:rPr>
          <w:rFonts w:hint="eastAsia" w:ascii="仿宋_GB2312" w:hAnsiTheme="minorHAnsi" w:cstheme="minorBidi"/>
          <w14:ligatures w14:val="standardContextual"/>
        </w:rPr>
        <w:t xml:space="preserve"> 看护员补助经聘用单位审核同意后，由同级财政委托银行发放至对应账户、按月发放。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第二十一条</w:t>
      </w:r>
      <w:r>
        <w:rPr>
          <w:rFonts w:hint="eastAsia" w:ascii="仿宋_GB2312" w:hAnsiTheme="minorHAnsi" w:cstheme="minorBidi"/>
          <w14:ligatures w14:val="standardContextual"/>
        </w:rPr>
        <w:t xml:space="preserve"> 各级文物行政部门和财政部门要加强对看护补助经费使用情况监督检查，确保补助经费及时、足额发放，对于挤占、挪用、虚列、套取专项资金等行为，按照《财政违法行为处罚处分条例》等国家有关规定严肃处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theme="minorBidi"/>
          <w14:ligatures w14:val="standardContextual"/>
        </w:rPr>
      </w:pPr>
      <w:r>
        <w:rPr>
          <w:rFonts w:hint="eastAsia" w:ascii="黑体" w:hAnsi="黑体" w:eastAsia="黑体" w:cstheme="minorBidi"/>
          <w14:ligatures w14:val="standardContextual"/>
        </w:rPr>
        <w:t>第六章  考核与奖惩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第二十二条</w:t>
      </w:r>
      <w:r>
        <w:rPr>
          <w:rFonts w:hint="eastAsia" w:ascii="仿宋_GB2312" w:hAnsiTheme="minorHAnsi" w:cstheme="minorBidi"/>
          <w14:ligatures w14:val="standardContextual"/>
        </w:rPr>
        <w:t xml:space="preserve"> 聘用单位应当采用月度考核与年度考核相结合的方式，对看护员工作实绩进行考核。考核主要内容为看护员落实巡查频次和质量，隐患报告及时性和准确性，宣传工作开展情况，配合执法和培训情况等。考核周期为每年1月至12月。</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color w:val="EE0000"/>
          <w14:ligatures w14:val="standardContextual"/>
        </w:rPr>
      </w:pPr>
      <w:r>
        <w:rPr>
          <w:rFonts w:hint="eastAsia" w:ascii="仿宋_GB2312" w:hAnsiTheme="minorHAnsi" w:cstheme="minorBidi"/>
          <w:b/>
          <w:bCs/>
          <w14:ligatures w14:val="standardContextual"/>
        </w:rPr>
        <w:t>第二十三条</w:t>
      </w:r>
      <w:r>
        <w:rPr>
          <w:rFonts w:hint="eastAsia" w:ascii="仿宋_GB2312" w:hAnsiTheme="minorHAnsi" w:cstheme="minorBidi"/>
          <w14:ligatures w14:val="standardContextual"/>
        </w:rPr>
        <w:t xml:space="preserve"> 看护员考核内容及评分标准，由自治区文物行政部门制定，具体考核工作在县级文物行政部门组织实施。考核等次为优秀（考核等次为优秀的，应当予以表彰，表彰比例控制在10%以内）、合格的看护员全额发放专项补助费；对未按规定巡查、隐瞒或迟报安全隐患、造成文物损失的，视情节给予批评教育、扣减补助金、解除聘任；涉嫌违法的，依法追究法律责任。考核结果报上级文物行政部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第二十四条</w:t>
      </w:r>
      <w:r>
        <w:rPr>
          <w:rFonts w:hint="eastAsia" w:ascii="仿宋_GB2312" w:hAnsiTheme="minorHAnsi" w:cstheme="minorBidi"/>
          <w14:ligatures w14:val="standardContextual"/>
        </w:rPr>
        <w:t xml:space="preserve"> 地（州、市）文物行政部门每年12月1日前，完成本地区看护员管理（考核）评估报告，包括看护员现状、培训状况、考核情况、专项补助发放情况等内容，书面报告自治区文化和旅游厅、自治区文物局，由其发布全区野外文物看护员管理工作年度通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第二十五条</w:t>
      </w:r>
      <w:r>
        <w:rPr>
          <w:rFonts w:hint="eastAsia" w:ascii="仿宋_GB2312" w:hAnsiTheme="minorHAnsi" w:cstheme="minorBidi"/>
          <w14:ligatures w14:val="standardContextual"/>
        </w:rPr>
        <w:t xml:space="preserve"> 有下列行为之一的，由聘用单位取消看护员资格；构成违法犯罪的，依法追究其法律责任：</w:t>
      </w:r>
      <w:r>
        <w:rPr>
          <w:rFonts w:hint="eastAsia" w:ascii="仿宋_GB2312" w:hAnsiTheme="minorHAnsi" w:cstheme="minorBidi"/>
          <w14:ligatures w14:val="standardContextual"/>
        </w:rPr>
        <w:br w:type="textWrapping"/>
      </w:r>
      <w:r>
        <w:rPr>
          <w:rFonts w:hint="eastAsia" w:ascii="仿宋_GB2312" w:hAnsiTheme="minorHAnsi" w:cstheme="minorBidi"/>
          <w14:ligatures w14:val="standardContextual"/>
        </w:rPr>
        <w:t xml:space="preserve">  （一）看护范围内发现出土文物不及时报告的；</w:t>
      </w:r>
      <w:r>
        <w:rPr>
          <w:rFonts w:hint="eastAsia" w:ascii="仿宋_GB2312" w:hAnsiTheme="minorHAnsi" w:cstheme="minorBidi"/>
          <w14:ligatures w14:val="standardContextual"/>
        </w:rPr>
        <w:br w:type="textWrapping"/>
      </w:r>
      <w:r>
        <w:rPr>
          <w:rFonts w:hint="eastAsia" w:ascii="仿宋_GB2312" w:hAnsiTheme="minorHAnsi" w:cstheme="minorBidi"/>
          <w14:ligatures w14:val="standardContextual"/>
        </w:rPr>
        <w:t xml:space="preserve">  （二）看护范围内发现文物遭盗窃、盗挖和其它损坏时不及时报告的；</w:t>
      </w:r>
      <w:r>
        <w:rPr>
          <w:rFonts w:hint="eastAsia" w:ascii="仿宋_GB2312" w:hAnsiTheme="minorHAnsi" w:cstheme="minorBidi"/>
          <w14:ligatures w14:val="standardContextual"/>
        </w:rPr>
        <w:br w:type="textWrapping"/>
      </w:r>
      <w:r>
        <w:rPr>
          <w:rFonts w:hint="eastAsia" w:ascii="仿宋_GB2312" w:hAnsiTheme="minorHAnsi" w:cstheme="minorBidi"/>
          <w14:ligatures w14:val="standardContextual"/>
        </w:rPr>
        <w:t xml:space="preserve">  （三）利用保护文物为名，借机为自己和亲友谋取私利，盗取、私藏文物造成违法犯罪和不良社会影响的；</w:t>
      </w:r>
      <w:r>
        <w:rPr>
          <w:rFonts w:hint="eastAsia" w:ascii="仿宋_GB2312" w:hAnsiTheme="minorHAnsi" w:cstheme="minorBidi"/>
          <w14:ligatures w14:val="standardContextual"/>
        </w:rPr>
        <w:br w:type="textWrapping"/>
      </w:r>
      <w:r>
        <w:rPr>
          <w:rFonts w:hint="eastAsia" w:ascii="仿宋_GB2312" w:hAnsiTheme="minorHAnsi" w:cstheme="minorBidi"/>
          <w14:ligatures w14:val="standardContextual"/>
        </w:rPr>
        <w:t xml:space="preserve">  （四）未经批准，擅自对外提供未经公开的重要文物信息和资料；</w:t>
      </w:r>
      <w:r>
        <w:rPr>
          <w:rFonts w:hint="eastAsia" w:ascii="仿宋_GB2312" w:hAnsiTheme="minorHAnsi" w:cstheme="minorBidi"/>
          <w14:ligatures w14:val="standardContextual"/>
        </w:rPr>
        <w:br w:type="textWrapping"/>
      </w:r>
      <w:r>
        <w:rPr>
          <w:rFonts w:hint="eastAsia" w:ascii="仿宋_GB2312" w:hAnsiTheme="minorHAnsi" w:cstheme="minorBidi"/>
          <w14:ligatures w14:val="standardContextual"/>
        </w:rPr>
        <w:t xml:space="preserve">  （五）未全面履行规定职责，</w:t>
      </w:r>
      <w:bookmarkStart w:id="0" w:name="OLE_LINK4"/>
      <w:r>
        <w:rPr>
          <w:rFonts w:hint="eastAsia" w:ascii="仿宋_GB2312" w:hAnsiTheme="minorHAnsi" w:cstheme="minorBidi"/>
          <w14:ligatures w14:val="standardContextual"/>
        </w:rPr>
        <w:t>一年内三次月度考核不合格</w:t>
      </w:r>
      <w:bookmarkEnd w:id="0"/>
      <w:r>
        <w:rPr>
          <w:rFonts w:hint="eastAsia" w:ascii="仿宋_GB2312" w:hAnsiTheme="minorHAnsi" w:cstheme="minorBidi"/>
          <w14:ligatures w14:val="standardContextual"/>
        </w:rPr>
        <w:t>；</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hAnsiTheme="minorHAnsi" w:cstheme="minorBidi"/>
          <w14:ligatures w14:val="standardContextual"/>
        </w:rPr>
      </w:pPr>
      <w:r>
        <w:rPr>
          <w:rFonts w:hint="eastAsia" w:ascii="仿宋_GB2312" w:hAnsiTheme="minorHAnsi" w:cstheme="minorBidi"/>
          <w14:ligatures w14:val="standardContextual"/>
        </w:rPr>
        <w:t>（六）长期脱岗、拒不服从管理，无正当理由连续15个工作日不在岗，或一年内累计30个工作日不在岗的。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Theme="minorHAnsi" w:cstheme="minorBidi"/>
          <w14:ligatures w14:val="standardContextual"/>
        </w:rPr>
      </w:pPr>
      <w:r>
        <w:rPr>
          <w:rFonts w:hint="eastAsia" w:ascii="黑体" w:hAnsi="黑体" w:eastAsia="黑体" w:cstheme="minorBidi"/>
          <w14:ligatures w14:val="standardContextual"/>
        </w:rPr>
        <w:t>第七章  附则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heme="minorHAnsi" w:cstheme="minorBidi"/>
          <w14:ligatures w14:val="standardContextual"/>
        </w:rPr>
      </w:pPr>
      <w:r>
        <w:rPr>
          <w:rFonts w:hint="eastAsia" w:ascii="仿宋_GB2312" w:hAnsiTheme="minorHAnsi" w:cstheme="minorBidi"/>
          <w:b/>
          <w:bCs/>
          <w14:ligatures w14:val="standardContextual"/>
        </w:rPr>
        <w:t>第二十六条</w:t>
      </w:r>
      <w:r>
        <w:rPr>
          <w:rFonts w:hint="eastAsia" w:ascii="仿宋_GB2312" w:hAnsiTheme="minorHAnsi" w:cstheme="minorBidi"/>
          <w14:ligatures w14:val="standardContextual"/>
        </w:rPr>
        <w:t xml:space="preserve">  本办法由自治区文化和旅游厅、自治区财政厅负责解释。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Theme="minorHAnsi" w:hAnsiTheme="minorHAnsi" w:eastAsiaTheme="minorEastAsia" w:cstheme="minorBidi"/>
          <w:sz w:val="22"/>
          <w:szCs w:val="24"/>
          <w14:ligatures w14:val="standardContextual"/>
        </w:rPr>
      </w:pPr>
      <w:r>
        <w:rPr>
          <w:rFonts w:hint="eastAsia" w:ascii="仿宋_GB2312" w:hAnsiTheme="minorHAnsi" w:cstheme="minorBidi"/>
          <w:b/>
          <w:bCs/>
          <w14:ligatures w14:val="standardContextual"/>
        </w:rPr>
        <w:t>第二十七条</w:t>
      </w:r>
      <w:r>
        <w:rPr>
          <w:rFonts w:hint="eastAsia" w:ascii="仿宋_GB2312" w:hAnsiTheme="minorHAnsi" w:cstheme="minorBidi"/>
          <w14:ligatures w14:val="standardContextual"/>
        </w:rPr>
        <w:t xml:space="preserve">  本办法自公布之日起施行，有效期至2031年</w:t>
      </w:r>
      <w:r>
        <w:rPr>
          <w:rFonts w:hint="eastAsia" w:ascii="仿宋_GB2312" w:hAnsiTheme="minorHAnsi" w:cstheme="minorBidi"/>
          <w:lang w:val="en-US" w:eastAsia="zh-CN"/>
          <w14:ligatures w14:val="standardContextual"/>
        </w:rPr>
        <w:t>9</w:t>
      </w:r>
      <w:r>
        <w:rPr>
          <w:rFonts w:hint="eastAsia" w:ascii="仿宋_GB2312" w:hAnsiTheme="minorHAnsi" w:cstheme="minorBidi"/>
          <w14:ligatures w14:val="standardContextual"/>
        </w:rPr>
        <w:t>月</w:t>
      </w:r>
      <w:r>
        <w:rPr>
          <w:rFonts w:hint="eastAsia" w:ascii="仿宋_GB2312" w:hAnsiTheme="minorHAnsi" w:cstheme="minorBidi"/>
          <w:lang w:val="en-US" w:eastAsia="zh-CN"/>
          <w14:ligatures w14:val="standardContextual"/>
        </w:rPr>
        <w:t>23</w:t>
      </w:r>
      <w:r>
        <w:rPr>
          <w:rFonts w:hint="eastAsia" w:ascii="仿宋_GB2312" w:hAnsiTheme="minorHAnsi" w:cstheme="minorBidi"/>
          <w14:ligatures w14:val="standardContextual"/>
        </w:rPr>
        <w:t>日。</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Theme="minorHAnsi" w:hAnsiTheme="minorHAnsi" w:eastAsiaTheme="minorEastAsia" w:cstheme="minorBidi"/>
          <w:sz w:val="22"/>
          <w:szCs w:val="24"/>
          <w14:ligatures w14:val="standardContextual"/>
        </w:rPr>
      </w:pPr>
    </w:p>
    <w:p>
      <w:pPr>
        <w:pStyle w:val="2"/>
        <w:keepNext w:val="0"/>
        <w:keepLines w:val="0"/>
        <w:pageBreakBefore w:val="0"/>
        <w:widowControl w:val="0"/>
        <w:kinsoku/>
        <w:wordWrap/>
        <w:overflowPunct/>
        <w:topLinePunct w:val="0"/>
        <w:autoSpaceDE/>
        <w:autoSpaceDN/>
        <w:bidi w:val="0"/>
        <w:adjustRightInd/>
        <w:snapToGrid/>
        <w:spacing w:beforeLines="0" w:afterLines="0" w:line="560" w:lineRule="exact"/>
        <w:ind w:firstLine="640"/>
      </w:pPr>
    </w:p>
    <w:p/>
    <w:p>
      <w:pPr>
        <w:pStyle w:val="2"/>
        <w:ind w:firstLine="640"/>
      </w:pPr>
    </w:p>
    <w:p/>
    <w:p>
      <w:pPr>
        <w:pStyle w:val="2"/>
        <w:ind w:firstLine="640"/>
      </w:pPr>
    </w:p>
    <w:p/>
    <w:p>
      <w:pPr>
        <w:keepNext w:val="0"/>
        <w:keepLines w:val="0"/>
        <w:widowControl/>
        <w:suppressLineNumbers w:val="0"/>
        <w:jc w:val="left"/>
        <w:textAlignment w:val="center"/>
        <w:rPr>
          <w:rFonts w:hint="eastAsia" w:ascii="仿宋_GB2312" w:eastAsia="仿宋_GB2312"/>
          <w:sz w:val="32"/>
          <w:szCs w:val="32"/>
          <w:lang w:val="en-US" w:eastAsia="zh-CN"/>
        </w:rPr>
      </w:pPr>
      <w:bookmarkStart w:id="1" w:name="_GoBack"/>
      <w:bookmarkEnd w:id="1"/>
    </w:p>
    <w:sectPr>
      <w:footerReference r:id="rId3" w:type="default"/>
      <w:pgSz w:w="11906" w:h="16838"/>
      <w:pgMar w:top="1800" w:right="1440" w:bottom="1800" w:left="1440" w:header="851" w:footer="737"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国标仿宋">
    <w:altName w:val="仿宋"/>
    <w:panose1 w:val="02000500000000000000"/>
    <w:charset w:val="86"/>
    <w:family w:val="roman"/>
    <w:pitch w:val="default"/>
    <w:sig w:usb0="00000000" w:usb1="00000000" w:usb2="00000016" w:usb3="00000000" w:csb0="00060007"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6231358"/>
                            <w:docPartObj>
                              <w:docPartGallery w:val="autotext"/>
                            </w:docPartObj>
                          </w:sdtPr>
                          <w:sdtContent>
                            <w:p>
                              <w:pPr>
                                <w:pStyle w:val="6"/>
                                <w:jc w:val="cente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26231358"/>
                      <w:docPartObj>
                        <w:docPartGallery w:val="autotext"/>
                      </w:docPartObj>
                    </w:sdtPr>
                    <w:sdtContent>
                      <w:p>
                        <w:pPr>
                          <w:pStyle w:val="6"/>
                          <w:jc w:val="cente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sdtContent>
                  </w:sdt>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051"/>
    <w:rsid w:val="0003022D"/>
    <w:rsid w:val="000351C0"/>
    <w:rsid w:val="00053800"/>
    <w:rsid w:val="00085ED1"/>
    <w:rsid w:val="000A2B99"/>
    <w:rsid w:val="000D3743"/>
    <w:rsid w:val="000F48D9"/>
    <w:rsid w:val="001475F1"/>
    <w:rsid w:val="00161332"/>
    <w:rsid w:val="0017454C"/>
    <w:rsid w:val="001A450C"/>
    <w:rsid w:val="001F73B0"/>
    <w:rsid w:val="0023405F"/>
    <w:rsid w:val="002416FE"/>
    <w:rsid w:val="002A70EC"/>
    <w:rsid w:val="00323C35"/>
    <w:rsid w:val="0033220E"/>
    <w:rsid w:val="003C1F65"/>
    <w:rsid w:val="0041460D"/>
    <w:rsid w:val="00491D02"/>
    <w:rsid w:val="005415A7"/>
    <w:rsid w:val="005640A1"/>
    <w:rsid w:val="0058497B"/>
    <w:rsid w:val="005D200B"/>
    <w:rsid w:val="00621A93"/>
    <w:rsid w:val="006D08DA"/>
    <w:rsid w:val="00752490"/>
    <w:rsid w:val="0077457E"/>
    <w:rsid w:val="00777030"/>
    <w:rsid w:val="00805AAC"/>
    <w:rsid w:val="00820055"/>
    <w:rsid w:val="00826C0E"/>
    <w:rsid w:val="00852A66"/>
    <w:rsid w:val="00893E8A"/>
    <w:rsid w:val="00894C75"/>
    <w:rsid w:val="008A16DE"/>
    <w:rsid w:val="008E4C18"/>
    <w:rsid w:val="00906E41"/>
    <w:rsid w:val="00921B10"/>
    <w:rsid w:val="00924F42"/>
    <w:rsid w:val="009A610F"/>
    <w:rsid w:val="009D1991"/>
    <w:rsid w:val="00A61E98"/>
    <w:rsid w:val="00A87051"/>
    <w:rsid w:val="00AB151A"/>
    <w:rsid w:val="00AD334D"/>
    <w:rsid w:val="00B01C37"/>
    <w:rsid w:val="00B525D5"/>
    <w:rsid w:val="00B57DEB"/>
    <w:rsid w:val="00B93632"/>
    <w:rsid w:val="00BB74DB"/>
    <w:rsid w:val="00CA26C1"/>
    <w:rsid w:val="00CD06E4"/>
    <w:rsid w:val="00D01B6A"/>
    <w:rsid w:val="00D72ACB"/>
    <w:rsid w:val="00DA55C3"/>
    <w:rsid w:val="00DC3AE7"/>
    <w:rsid w:val="00EF563D"/>
    <w:rsid w:val="00F0309D"/>
    <w:rsid w:val="00F40754"/>
    <w:rsid w:val="00F456A5"/>
    <w:rsid w:val="00F557D5"/>
    <w:rsid w:val="00FE7054"/>
    <w:rsid w:val="00FF5C56"/>
    <w:rsid w:val="1FD69495"/>
    <w:rsid w:val="26FDC652"/>
    <w:rsid w:val="27FF4655"/>
    <w:rsid w:val="3BCFCC97"/>
    <w:rsid w:val="3C5F04E7"/>
    <w:rsid w:val="3DAF43F2"/>
    <w:rsid w:val="3FAD5E4D"/>
    <w:rsid w:val="3FBD0B54"/>
    <w:rsid w:val="3FBECBBE"/>
    <w:rsid w:val="3FBEEC9F"/>
    <w:rsid w:val="3FEA5685"/>
    <w:rsid w:val="46BF41EE"/>
    <w:rsid w:val="4C9BA245"/>
    <w:rsid w:val="4E1BAFCA"/>
    <w:rsid w:val="4ECF8A45"/>
    <w:rsid w:val="4EDB9D7F"/>
    <w:rsid w:val="4EFEBB8B"/>
    <w:rsid w:val="4F3F1ACD"/>
    <w:rsid w:val="4F97E792"/>
    <w:rsid w:val="576DA7FE"/>
    <w:rsid w:val="57F4F908"/>
    <w:rsid w:val="57FAA6BB"/>
    <w:rsid w:val="5C187ECA"/>
    <w:rsid w:val="5D5B0E02"/>
    <w:rsid w:val="5D9FE92C"/>
    <w:rsid w:val="5DFACAF6"/>
    <w:rsid w:val="5F78928C"/>
    <w:rsid w:val="5F9678D4"/>
    <w:rsid w:val="5FF31076"/>
    <w:rsid w:val="5FFB79F0"/>
    <w:rsid w:val="6377E76B"/>
    <w:rsid w:val="673EDCD9"/>
    <w:rsid w:val="6D5F6C7C"/>
    <w:rsid w:val="6EFDBBB9"/>
    <w:rsid w:val="6F96CADF"/>
    <w:rsid w:val="72FAF782"/>
    <w:rsid w:val="73FB3CE1"/>
    <w:rsid w:val="765FC24D"/>
    <w:rsid w:val="76C32794"/>
    <w:rsid w:val="77DE0544"/>
    <w:rsid w:val="7AFE2907"/>
    <w:rsid w:val="7B9B754D"/>
    <w:rsid w:val="7BBFE4D2"/>
    <w:rsid w:val="7BF6477F"/>
    <w:rsid w:val="7BFF7E2E"/>
    <w:rsid w:val="7D7BBE74"/>
    <w:rsid w:val="7E6572AA"/>
    <w:rsid w:val="7EEF27F9"/>
    <w:rsid w:val="7EF912C2"/>
    <w:rsid w:val="7F774BC2"/>
    <w:rsid w:val="7F9FC74A"/>
    <w:rsid w:val="7FF220EB"/>
    <w:rsid w:val="7FFB09DE"/>
    <w:rsid w:val="7FFE23B5"/>
    <w:rsid w:val="7FFE541D"/>
    <w:rsid w:val="99B7B21A"/>
    <w:rsid w:val="A5BE9DF5"/>
    <w:rsid w:val="A64F67DE"/>
    <w:rsid w:val="AEF6A0A4"/>
    <w:rsid w:val="AF639527"/>
    <w:rsid w:val="AF7B1910"/>
    <w:rsid w:val="B6BFD369"/>
    <w:rsid w:val="B8DC641A"/>
    <w:rsid w:val="BAF579B2"/>
    <w:rsid w:val="BB5BE9AD"/>
    <w:rsid w:val="BDEEC82A"/>
    <w:rsid w:val="BEF3CFBF"/>
    <w:rsid w:val="BF79C5AC"/>
    <w:rsid w:val="BFBB5CE5"/>
    <w:rsid w:val="BFDE6977"/>
    <w:rsid w:val="BFFD5D40"/>
    <w:rsid w:val="BFFF9FB3"/>
    <w:rsid w:val="C8FB97C9"/>
    <w:rsid w:val="CDBD6426"/>
    <w:rsid w:val="CFFF353F"/>
    <w:rsid w:val="D39E26F6"/>
    <w:rsid w:val="D4CFA75D"/>
    <w:rsid w:val="D57F9A6D"/>
    <w:rsid w:val="D7CE9C4D"/>
    <w:rsid w:val="D7FCC6D2"/>
    <w:rsid w:val="DAF728D7"/>
    <w:rsid w:val="DDF3340B"/>
    <w:rsid w:val="DEBF4561"/>
    <w:rsid w:val="DF58D648"/>
    <w:rsid w:val="DFEF78D9"/>
    <w:rsid w:val="DFFFE897"/>
    <w:rsid w:val="E9F72761"/>
    <w:rsid w:val="EBA9CF36"/>
    <w:rsid w:val="EBD59743"/>
    <w:rsid w:val="EF7E8E40"/>
    <w:rsid w:val="EFBAA85D"/>
    <w:rsid w:val="EFDC9AC6"/>
    <w:rsid w:val="F1F35D4C"/>
    <w:rsid w:val="F43F228C"/>
    <w:rsid w:val="F7FF0998"/>
    <w:rsid w:val="F7FF5154"/>
    <w:rsid w:val="F9F78D31"/>
    <w:rsid w:val="FB7F0FA6"/>
    <w:rsid w:val="FD9CB3DA"/>
    <w:rsid w:val="FE3BC9FD"/>
    <w:rsid w:val="FEFF5080"/>
    <w:rsid w:val="FF58F872"/>
    <w:rsid w:val="FFBFDEE6"/>
    <w:rsid w:val="FFC6ECC9"/>
    <w:rsid w:val="FFEF43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Calibri" w:hAnsi="Calibri" w:eastAsia="仿宋_GB2312" w:cs="Times New Roman"/>
      <w:kern w:val="2"/>
      <w:sz w:val="32"/>
      <w:szCs w:val="32"/>
      <w:lang w:val="en-US" w:eastAsia="zh-CN" w:bidi="ar-SA"/>
    </w:rPr>
  </w:style>
  <w:style w:type="paragraph" w:styleId="2">
    <w:name w:val="heading 3"/>
    <w:basedOn w:val="1"/>
    <w:next w:val="1"/>
    <w:unhideWhenUsed/>
    <w:qFormat/>
    <w:uiPriority w:val="0"/>
    <w:pPr>
      <w:keepNext/>
      <w:keepLines/>
      <w:spacing w:beforeLines="0" w:beforeAutospacing="0" w:afterLines="0" w:afterAutospacing="0" w:line="560" w:lineRule="exact"/>
      <w:ind w:left="0" w:firstLine="880" w:firstLineChars="200"/>
      <w:outlineLvl w:val="2"/>
    </w:p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Salutation"/>
    <w:basedOn w:val="1"/>
    <w:next w:val="1"/>
    <w:qFormat/>
    <w:uiPriority w:val="99"/>
    <w:pPr>
      <w:widowControl w:val="0"/>
      <w:textAlignment w:val="auto"/>
    </w:pPr>
    <w:rPr>
      <w:rFonts w:ascii="Times New Roman" w:hAnsi="Times New Roman" w:eastAsia="宋体"/>
      <w:sz w:val="21"/>
      <w:szCs w:val="24"/>
    </w:rPr>
  </w:style>
  <w:style w:type="paragraph" w:styleId="4">
    <w:name w:val="Body Text"/>
    <w:basedOn w:val="1"/>
    <w:qFormat/>
    <w:uiPriority w:val="0"/>
    <w:pPr>
      <w:spacing w:before="0" w:after="140" w:line="276" w:lineRule="auto"/>
    </w:pPr>
  </w:style>
  <w:style w:type="paragraph" w:styleId="5">
    <w:name w:val="Body Text Indent"/>
    <w:basedOn w:val="1"/>
    <w:semiHidden/>
    <w:unhideWhenUsed/>
    <w:qFormat/>
    <w:uiPriority w:val="99"/>
    <w:pPr>
      <w:spacing w:after="120"/>
      <w:ind w:left="420" w:leftChars="200"/>
    </w:p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5"/>
    <w:semiHidden/>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Hyperlink"/>
    <w:basedOn w:val="12"/>
    <w:qFormat/>
    <w:uiPriority w:val="0"/>
    <w:rPr>
      <w:color w:val="0000FF"/>
      <w:u w:val="single"/>
    </w:rPr>
  </w:style>
  <w:style w:type="character" w:customStyle="1" w:styleId="15">
    <w:name w:val="页眉 Char"/>
    <w:basedOn w:val="12"/>
    <w:link w:val="7"/>
    <w:qFormat/>
    <w:uiPriority w:val="99"/>
    <w:rPr>
      <w:sz w:val="18"/>
      <w:szCs w:val="18"/>
    </w:rPr>
  </w:style>
  <w:style w:type="character" w:customStyle="1" w:styleId="16">
    <w:name w:val="页脚 Char"/>
    <w:basedOn w:val="12"/>
    <w:link w:val="6"/>
    <w:qFormat/>
    <w:uiPriority w:val="99"/>
    <w:rPr>
      <w:sz w:val="18"/>
      <w:szCs w:val="18"/>
    </w:rPr>
  </w:style>
  <w:style w:type="character" w:customStyle="1" w:styleId="17">
    <w:name w:val="NormalCharacter"/>
    <w:qFormat/>
    <w:uiPriority w:val="0"/>
  </w:style>
  <w:style w:type="paragraph" w:styleId="18">
    <w:name w:val="List Paragraph"/>
    <w:basedOn w:val="1"/>
    <w:qFormat/>
    <w:uiPriority w:val="34"/>
    <w:pPr>
      <w:ind w:firstLine="420" w:firstLineChars="200"/>
    </w:pPr>
  </w:style>
  <w:style w:type="paragraph" w:customStyle="1" w:styleId="19">
    <w:name w:val="正文1"/>
    <w:basedOn w:val="20"/>
    <w:qFormat/>
    <w:uiPriority w:val="0"/>
    <w:pPr>
      <w:jc w:val="both"/>
    </w:pPr>
    <w:rPr>
      <w:rFonts w:ascii="Calibri" w:hAnsi="Calibri" w:eastAsia="Calibri"/>
      <w:sz w:val="21"/>
    </w:rPr>
  </w:style>
  <w:style w:type="paragraph" w:customStyle="1" w:styleId="20">
    <w:name w:val="[Normal]"/>
    <w:qFormat/>
    <w:uiPriority w:val="0"/>
    <w:rPr>
      <w:rFonts w:ascii="宋体" w:hAnsi="宋体" w:eastAsia="宋体" w:cs="Times New Roman"/>
      <w:sz w:val="24"/>
      <w:lang w:val="zh-CN" w:eastAsia="zh-CN" w:bidi="ar-SA"/>
    </w:rPr>
  </w:style>
  <w:style w:type="paragraph" w:customStyle="1" w:styleId="21">
    <w:name w:val="p0"/>
    <w:basedOn w:val="1"/>
    <w:qFormat/>
    <w:uiPriority w:val="0"/>
    <w:pPr>
      <w:widowControl/>
    </w:pPr>
    <w:rPr>
      <w:kern w:val="0"/>
      <w:szCs w:val="21"/>
    </w:rPr>
  </w:style>
  <w:style w:type="character" w:customStyle="1" w:styleId="22">
    <w:name w:val="font101"/>
    <w:qFormat/>
    <w:uiPriority w:val="0"/>
    <w:rPr>
      <w:rFonts w:hint="eastAsia" w:ascii="宋体" w:hAnsi="宋体" w:eastAsia="宋体" w:cs="宋体"/>
      <w:color w:val="000000"/>
      <w:sz w:val="24"/>
      <w:szCs w:val="24"/>
      <w:u w:val="none"/>
    </w:rPr>
  </w:style>
  <w:style w:type="character" w:customStyle="1" w:styleId="23">
    <w:name w:val="font112"/>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15</Pages>
  <Words>1140</Words>
  <Characters>6504</Characters>
  <Lines>54</Lines>
  <Paragraphs>15</Paragraphs>
  <TotalTime>19</TotalTime>
  <ScaleCrop>false</ScaleCrop>
  <LinksUpToDate>false</LinksUpToDate>
  <CharactersWithSpaces>7629</CharactersWithSpaces>
  <Application>WPS Office_11.1.0.10359_F1E327BC-269C-435d-A152-05C5408002CA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2023-03-23T17:23:00Z</dcterms:created>
  <dc:creator>吾兰 乔丽盼</dc:creator>
  <cp:lastModifiedBy>ADMIN</cp:lastModifiedBy>
  <cp:lastPrinted>2026-09-29T01:38:00Z</cp:lastPrinted>
  <dcterms:modified xsi:type="dcterms:W3CDTF">2026-09-30T01:16:53Z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EC18E57200C443EBBAEC34102DCC4548</vt:lpwstr>
  </property>
</Properties>
</file>